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B365D"/>
          <w:sz w:val="28"/>
        </w:rPr>
        <w:t>Project Design Phase-II</w:t>
      </w:r>
    </w:p>
    <w:p>
      <w:pPr>
        <w:spacing w:after="240"/>
      </w:pPr>
      <w:r>
        <w:rPr>
          <w:b/>
          <w:color w:val="005A9E"/>
          <w:sz w:val="36"/>
        </w:rPr>
        <w:t>Technology Stack (Architecture &amp; Stack)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365D"/>
              </w:rPr>
              <w:t>Date:</w:t>
            </w:r>
          </w:p>
        </w:tc>
        <w:tc>
          <w:tcPr>
            <w:tcW w:type="dxa" w:w="69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03 October 2026</w:t>
            </w:r>
          </w:p>
        </w:tc>
      </w:tr>
      <w:tr>
        <w:tc>
          <w:tcPr>
            <w:tcW w:type="dxa" w:w="2880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365D"/>
              </w:rPr>
              <w:t>Team ID:</w:t>
            </w:r>
          </w:p>
        </w:tc>
        <w:tc>
          <w:tcPr>
            <w:tcW w:type="dxa" w:w="69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SWTID-2026-3257</w:t>
            </w:r>
          </w:p>
        </w:tc>
      </w:tr>
      <w:tr>
        <w:tc>
          <w:tcPr>
            <w:tcW w:type="dxa" w:w="2880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365D"/>
              </w:rPr>
              <w:t>Project Name:</w:t>
            </w:r>
          </w:p>
        </w:tc>
        <w:tc>
          <w:tcPr>
            <w:tcW w:type="dxa" w:w="69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Implement Client Script &amp; UI Policy (Incident Table)</w:t>
            </w:r>
          </w:p>
        </w:tc>
      </w:tr>
      <w:tr>
        <w:tc>
          <w:tcPr>
            <w:tcW w:type="dxa" w:w="2880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365D"/>
              </w:rPr>
              <w:t>Maximum Marks:</w:t>
            </w:r>
          </w:p>
        </w:tc>
        <w:tc>
          <w:tcPr>
            <w:tcW w:type="dxa" w:w="69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4 Marks</w:t>
            </w:r>
          </w:p>
        </w:tc>
      </w:tr>
    </w:tbl>
    <w:p>
      <w:pPr>
        <w:spacing w:after="240"/>
      </w:pPr>
    </w:p>
    <w:p>
      <w:r>
        <w:rPr>
          <w:b/>
          <w:color w:val="1B365D"/>
          <w:sz w:val="28"/>
        </w:rPr>
        <w:t>1. Technical Architecture Overview</w:t>
      </w:r>
    </w:p>
    <w:p>
      <w:pPr>
        <w:spacing w:after="160"/>
      </w:pPr>
      <w:r>
        <w:t>The Incident Management Client Script &amp; UI Policy application follows a modern multi-tiered ITSM architecture. Client-side interactions occur within the ServiceNow / Web Browser Workspace, where Client Scripts and UI Policies execute natively in JavaScript to control form field visibility, mandatory requirements, and read-only states dynamically before sending data over secure HTTPS/REST APIs to the cloud platform application engine and relational database layer.</w:t>
      </w:r>
    </w:p>
    <w:p>
      <w:pPr>
        <w:spacing w:after="240"/>
        <w:ind w:left="288"/>
      </w:pPr>
      <w:r>
        <w:rPr>
          <w:b/>
          <w:color w:val="005A9E"/>
        </w:rPr>
        <w:t>System Interaction Flow:</w:t>
        <w:br/>
      </w:r>
      <w:r>
        <w:t>1. Service Desk Analyst accesses Incident Workspace via Web Browser (Client Layer).</w:t>
        <w:br/>
        <w:t>2. On-Load &amp; On-Change Events trigger Client Scripts &amp; UI Policy Rules in the local browser DOM engine.</w:t>
        <w:br/>
        <w:t>3. Real-time field manipulation (e.g., hiding Resolution Notes until State=Resolved) is executed client-side with zero server latency.</w:t>
        <w:br/>
        <w:t>4. Validated incident data is transmitted over TLS 1.3 encrypted REST APIs to the Application Engine (ServiceNow Platform / Node Backend).</w:t>
        <w:br/>
        <w:t>5. Record state and audit history are committed to the Relational Cloud Database (MariaDB / MySQL enterprise cluster).</w:t>
      </w:r>
    </w:p>
    <w:p>
      <w:r>
        <w:rPr>
          <w:b/>
          <w:color w:val="1B365D"/>
          <w:sz w:val="28"/>
        </w:rPr>
        <w:t>Table-1: Components &amp; Technologies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864"/>
            <w:shd w:val="clear" w:color="auto"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S.No</w:t>
            </w:r>
          </w:p>
        </w:tc>
        <w:tc>
          <w:tcPr>
            <w:tcW w:type="dxa" w:w="2592"/>
            <w:shd w:val="clear" w:color="auto"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3744"/>
            <w:shd w:val="clear" w:color="auto"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2592"/>
            <w:shd w:val="clear" w:color="auto"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Technology</w:t>
            </w:r>
          </w:p>
        </w:tc>
      </w:tr>
      <w:tr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b/>
                <w:color w:val="005A9E"/>
                <w:sz w:val="18"/>
              </w:rPr>
              <w:t>1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User Interface (UI / Workspace)</w:t>
            </w:r>
          </w:p>
        </w:tc>
        <w:tc>
          <w:tcPr>
            <w:tcW w:type="dxa" w:w="374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Next-Gen Service Operations Workspace / Incident Form UI where support analysts interact with incident records.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ServiceNow Agent Workspace, HTML5, CSS3, JavaScript (ES6+), GlideForm (g_form) API</w:t>
            </w:r>
          </w:p>
        </w:tc>
      </w:tr>
      <w:tr>
        <w:tc>
          <w:tcPr>
            <w:tcW w:type="dxa" w:w="864"/>
            <w:shd w:val="clear" w:color="auto"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b/>
                <w:color w:val="005A9E"/>
                <w:sz w:val="18"/>
              </w:rPr>
              <w:t>2</w:t>
            </w:r>
          </w:p>
        </w:tc>
        <w:tc>
          <w:tcPr>
            <w:tcW w:type="dxa" w:w="2592"/>
            <w:shd w:val="clear" w:color="auto"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Application Logic - Client Side (UI Policies)</w:t>
            </w:r>
          </w:p>
        </w:tc>
        <w:tc>
          <w:tcPr>
            <w:tcW w:type="dxa" w:w="3744"/>
            <w:shd w:val="clear" w:color="auto"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Declarative logic controlling dynamic field visibility, mandatory attributes, and read-only conditions based on state changes.</w:t>
            </w:r>
          </w:p>
        </w:tc>
        <w:tc>
          <w:tcPr>
            <w:tcW w:type="dxa" w:w="2592"/>
            <w:shd w:val="clear" w:color="auto"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ServiceNow UI Policies, Client Script Engine, JavaScript DOM manipulation</w:t>
            </w:r>
          </w:p>
        </w:tc>
      </w:tr>
      <w:tr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b/>
                <w:color w:val="005A9E"/>
                <w:sz w:val="18"/>
              </w:rPr>
              <w:t>3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Application Logic - Client Side (Scripts)</w:t>
            </w:r>
          </w:p>
        </w:tc>
        <w:tc>
          <w:tcPr>
            <w:tcW w:type="dxa" w:w="374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Real-time client-side event listeners (onChange, onLoad, onSubmit) for dynamic calculations and interactive prompts.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JavaScript, GlideForm (g_form), GlideUser (g_user), AJAX (GlideAjax)</w:t>
            </w:r>
          </w:p>
        </w:tc>
      </w:tr>
      <w:tr>
        <w:tc>
          <w:tcPr>
            <w:tcW w:type="dxa" w:w="864"/>
            <w:shd w:val="clear" w:color="auto"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b/>
                <w:color w:val="005A9E"/>
                <w:sz w:val="18"/>
              </w:rPr>
              <w:t>4</w:t>
            </w:r>
          </w:p>
        </w:tc>
        <w:tc>
          <w:tcPr>
            <w:tcW w:type="dxa" w:w="2592"/>
            <w:shd w:val="clear" w:color="auto"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Application Logic - Server Side</w:t>
            </w:r>
          </w:p>
        </w:tc>
        <w:tc>
          <w:tcPr>
            <w:tcW w:type="dxa" w:w="3744"/>
            <w:shd w:val="clear" w:color="auto"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Platform application engine handling business rules, workflow orchestration, and server-side data validation.</w:t>
            </w:r>
          </w:p>
        </w:tc>
        <w:tc>
          <w:tcPr>
            <w:tcW w:type="dxa" w:w="2592"/>
            <w:shd w:val="clear" w:color="auto"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ServiceNow Glide Engine, Rhino JavaScript Engine / Node.js runtime</w:t>
            </w:r>
          </w:p>
        </w:tc>
      </w:tr>
      <w:tr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b/>
                <w:color w:val="005A9E"/>
                <w:sz w:val="18"/>
              </w:rPr>
              <w:t>5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Database Layer</w:t>
            </w:r>
          </w:p>
        </w:tc>
        <w:tc>
          <w:tcPr>
            <w:tcW w:type="dxa" w:w="374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Relational database storing Incident record history, user roles, assignment groups, and audit trails.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MariaDB / MySQL enterprise cloud instance (ServiceNow Cloud Data Tier)</w:t>
            </w:r>
          </w:p>
        </w:tc>
      </w:tr>
      <w:tr>
        <w:tc>
          <w:tcPr>
            <w:tcW w:type="dxa" w:w="864"/>
            <w:shd w:val="clear" w:color="auto"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b/>
                <w:color w:val="005A9E"/>
                <w:sz w:val="18"/>
              </w:rPr>
              <w:t>6</w:t>
            </w:r>
          </w:p>
        </w:tc>
        <w:tc>
          <w:tcPr>
            <w:tcW w:type="dxa" w:w="2592"/>
            <w:shd w:val="clear" w:color="auto"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Cloud Platform / Storage</w:t>
            </w:r>
          </w:p>
        </w:tc>
        <w:tc>
          <w:tcPr>
            <w:tcW w:type="dxa" w:w="3744"/>
            <w:shd w:val="clear" w:color="auto"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Cloud platform infrastructure hosting the ITSM application instance and document attachments.</w:t>
            </w:r>
          </w:p>
        </w:tc>
        <w:tc>
          <w:tcPr>
            <w:tcW w:type="dxa" w:w="2592"/>
            <w:shd w:val="clear" w:color="auto"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ServiceNow Multi-Instance Enterprise Cloud / AWS Cloud Storage</w:t>
            </w:r>
          </w:p>
        </w:tc>
      </w:tr>
      <w:tr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b/>
                <w:color w:val="005A9E"/>
                <w:sz w:val="18"/>
              </w:rPr>
              <w:t>7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External API - Incident Integration</w:t>
            </w:r>
          </w:p>
        </w:tc>
        <w:tc>
          <w:tcPr>
            <w:tcW w:type="dxa" w:w="374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RESTful web services for integrating incident data with third-party monitoring systems or notification systems.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REST API, JSON, OAuth 2.0 Webhooks</w:t>
            </w:r>
          </w:p>
        </w:tc>
      </w:tr>
      <w:tr>
        <w:tc>
          <w:tcPr>
            <w:tcW w:type="dxa" w:w="864"/>
            <w:shd w:val="clear" w:color="auto"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b/>
                <w:color w:val="005A9E"/>
                <w:sz w:val="18"/>
              </w:rPr>
              <w:t>8</w:t>
            </w:r>
          </w:p>
        </w:tc>
        <w:tc>
          <w:tcPr>
            <w:tcW w:type="dxa" w:w="2592"/>
            <w:shd w:val="clear" w:color="auto"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Machine Learning / Analytics</w:t>
            </w:r>
          </w:p>
        </w:tc>
        <w:tc>
          <w:tcPr>
            <w:tcW w:type="dxa" w:w="3744"/>
            <w:shd w:val="clear" w:color="auto"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Predictive intelligence and auto-categorization model for incident ticket routing.</w:t>
            </w:r>
          </w:p>
        </w:tc>
        <w:tc>
          <w:tcPr>
            <w:tcW w:type="dxa" w:w="2592"/>
            <w:shd w:val="clear" w:color="auto"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Predictive Intelligence ML Engine / Python scikit-learn (Optional)</w:t>
            </w:r>
          </w:p>
        </w:tc>
      </w:tr>
      <w:tr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b/>
                <w:color w:val="005A9E"/>
                <w:sz w:val="18"/>
              </w:rPr>
              <w:t>9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Infrastructure &amp; Deployment</w:t>
            </w:r>
          </w:p>
        </w:tc>
        <w:tc>
          <w:tcPr>
            <w:tcW w:type="dxa" w:w="374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Cloud-hosted multi-tenant enterprise instance running on high-availability cluster architecture.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Cloud Platform, Docker / Kubernetes container runtime for custom microservices</w:t>
            </w:r>
          </w:p>
        </w:tc>
      </w:tr>
    </w:tbl>
    <w:p>
      <w:pPr>
        <w:spacing w:after="240"/>
      </w:pPr>
    </w:p>
    <w:p>
      <w:r>
        <w:rPr>
          <w:b/>
          <w:color w:val="1B365D"/>
          <w:sz w:val="28"/>
        </w:rPr>
        <w:t>Table-2: Application Characteristics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864"/>
            <w:shd w:val="clear" w:color="auto"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S.No</w:t>
            </w:r>
          </w:p>
        </w:tc>
        <w:tc>
          <w:tcPr>
            <w:tcW w:type="dxa" w:w="2592"/>
            <w:shd w:val="clear" w:color="auto"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Characteristics</w:t>
            </w:r>
          </w:p>
        </w:tc>
        <w:tc>
          <w:tcPr>
            <w:tcW w:type="dxa" w:w="3744"/>
            <w:shd w:val="clear" w:color="auto"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2592"/>
            <w:shd w:val="clear" w:color="auto"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Technology</w:t>
            </w:r>
          </w:p>
        </w:tc>
      </w:tr>
      <w:tr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b/>
                <w:color w:val="005A9E"/>
                <w:sz w:val="18"/>
              </w:rPr>
              <w:t>1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Open-Source &amp; Standard Frameworks</w:t>
            </w:r>
          </w:p>
        </w:tc>
        <w:tc>
          <w:tcPr>
            <w:tcW w:type="dxa" w:w="374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Standard web technologies and JavaScript libraries used for client-side rendering and scripting.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JavaScript (ES6+), HTML5, CSS3, REST API standards, JSON data interchange</w:t>
            </w:r>
          </w:p>
        </w:tc>
      </w:tr>
      <w:tr>
        <w:tc>
          <w:tcPr>
            <w:tcW w:type="dxa" w:w="864"/>
            <w:shd w:val="clear" w:color="auto"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b/>
                <w:color w:val="005A9E"/>
                <w:sz w:val="18"/>
              </w:rPr>
              <w:t>2</w:t>
            </w:r>
          </w:p>
        </w:tc>
        <w:tc>
          <w:tcPr>
            <w:tcW w:type="dxa" w:w="2592"/>
            <w:shd w:val="clear" w:color="auto"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Security Implementations</w:t>
            </w:r>
          </w:p>
        </w:tc>
        <w:tc>
          <w:tcPr>
            <w:tcW w:type="dxa" w:w="3744"/>
            <w:shd w:val="clear" w:color="auto"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Role-based access control (RBAC), secure client-side execution, and encrypted data transmission.</w:t>
            </w:r>
          </w:p>
        </w:tc>
        <w:tc>
          <w:tcPr>
            <w:tcW w:type="dxa" w:w="2592"/>
            <w:shd w:val="clear" w:color="auto"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Role-Based Access Control (itil, incident_manager roles), HTTPS/TLS 1.3, OAuth 2.0, OWASP Top 10 Guidelines</w:t>
            </w:r>
          </w:p>
        </w:tc>
      </w:tr>
      <w:tr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b/>
                <w:color w:val="005A9E"/>
                <w:sz w:val="18"/>
              </w:rPr>
              <w:t>3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Scalable Architecture</w:t>
            </w:r>
          </w:p>
        </w:tc>
        <w:tc>
          <w:tcPr>
            <w:tcW w:type="dxa" w:w="374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Decoupled client-side scripting and multi-tier cloud infrastructure supporting high concurrent user load.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Multi-Tier Cloud Architecture, Client-side browser execution offloading server burden</w:t>
            </w:r>
          </w:p>
        </w:tc>
      </w:tr>
      <w:tr>
        <w:tc>
          <w:tcPr>
            <w:tcW w:type="dxa" w:w="864"/>
            <w:shd w:val="clear" w:color="auto"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b/>
                <w:color w:val="005A9E"/>
                <w:sz w:val="18"/>
              </w:rPr>
              <w:t>4</w:t>
            </w:r>
          </w:p>
        </w:tc>
        <w:tc>
          <w:tcPr>
            <w:tcW w:type="dxa" w:w="2592"/>
            <w:shd w:val="clear" w:color="auto"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Availability</w:t>
            </w:r>
          </w:p>
        </w:tc>
        <w:tc>
          <w:tcPr>
            <w:tcW w:type="dxa" w:w="3744"/>
            <w:shd w:val="clear" w:color="auto"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High-availability cloud hosting with multi-zone redundancy and active-active failover support.</w:t>
            </w:r>
          </w:p>
        </w:tc>
        <w:tc>
          <w:tcPr>
            <w:tcW w:type="dxa" w:w="2592"/>
            <w:shd w:val="clear" w:color="auto"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99.99% Cloud Uptime SLA, Multi-Zone Data Center Redundancy, Load Balancers</w:t>
            </w:r>
          </w:p>
        </w:tc>
      </w:tr>
      <w:tr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b/>
                <w:color w:val="005A9E"/>
                <w:sz w:val="18"/>
              </w:rPr>
              <w:t>5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Performance</w:t>
            </w:r>
          </w:p>
        </w:tc>
        <w:tc>
          <w:tcPr>
            <w:tcW w:type="dxa" w:w="374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Sub-second client-side field validation and UI updates without triggering expensive full-page reloads.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Asynchronous GlideAjax requests, client-side caching, optimized JavaScript event handling</w:t>
            </w:r>
          </w:p>
        </w:tc>
      </w:tr>
    </w:tbl>
    <w:p>
      <w:pPr>
        <w:spacing w:after="240"/>
      </w:pPr>
    </w:p>
    <w:p>
      <w:r>
        <w:rPr>
          <w:b/>
          <w:color w:val="1B365D"/>
          <w:sz w:val="28"/>
        </w:rPr>
        <w:t>References</w:t>
      </w:r>
    </w:p>
    <w:p>
      <w:pPr>
        <w:spacing w:after="60"/>
        <w:ind w:left="288"/>
      </w:pPr>
      <w:r>
        <w:rPr>
          <w:sz w:val="19"/>
        </w:rPr>
        <w:t>• C4 Model for Software Architecture: https://c4model.com/</w:t>
      </w:r>
    </w:p>
    <w:p>
      <w:pPr>
        <w:spacing w:after="60"/>
        <w:ind w:left="288"/>
      </w:pPr>
      <w:r>
        <w:rPr>
          <w:sz w:val="19"/>
        </w:rPr>
        <w:t>• ServiceNow Developer Documentation (Client Scripts &amp; UI Policies): https://developer.servicenow.com/</w:t>
      </w:r>
    </w:p>
    <w:p>
      <w:pPr>
        <w:spacing w:after="60"/>
        <w:ind w:left="288"/>
      </w:pPr>
      <w:r>
        <w:rPr>
          <w:sz w:val="19"/>
        </w:rPr>
        <w:t>• IBM Cloud Architecture Center: https://www.ibm.com/cloud/architecture</w:t>
      </w:r>
    </w:p>
    <w:p>
      <w:pPr>
        <w:spacing w:after="60"/>
        <w:ind w:left="288"/>
      </w:pPr>
      <w:r>
        <w:rPr>
          <w:sz w:val="19"/>
        </w:rPr>
        <w:t>• AWS Architecture Center: https://aws.amazon.com/architecture</w:t>
      </w:r>
    </w:p>
    <w:p>
      <w:pPr>
        <w:spacing w:after="60"/>
        <w:ind w:left="288"/>
      </w:pPr>
      <w:r>
        <w:rPr>
          <w:sz w:val="19"/>
        </w:rPr>
        <w:t>• OWASP Top 10 Web Application Security Risks: https://owasp.org/www-project-top-ten/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