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365D"/>
          <w:sz w:val="28"/>
        </w:rPr>
        <w:t>Project Design Phase</w:t>
      </w:r>
    </w:p>
    <w:p>
      <w:pPr>
        <w:spacing w:after="240"/>
      </w:pPr>
      <w:r>
        <w:rPr>
          <w:b/>
          <w:color w:val="005A9E"/>
          <w:sz w:val="36"/>
        </w:rPr>
        <w:t>Problem – Solution Fit Canvas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Date: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03 October 2026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Team ID: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SWTID-2026-3257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Project Name: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Implement Client Script &amp; UI Policy (Incident Table)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Maximum Marks: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 Marks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1. Purpose &amp; Overview of Problem-Solution Fit</w:t>
      </w:r>
    </w:p>
    <w:p>
      <w:pPr>
        <w:spacing w:after="160"/>
      </w:pPr>
      <w:r>
        <w:t>The Problem-Solution Fit validates that the proposed solution actually solves the target user's problem in a way that aligns with their operational behavior. By implementing dynamic UI Policies and event-driven Client Scripts on the Incident table, this project bridges the gap between Service Desk operational friction and seamless ITSM compliance.</w:t>
      </w:r>
    </w:p>
    <w:p>
      <w:pPr>
        <w:spacing w:after="60"/>
        <w:ind w:left="288"/>
      </w:pPr>
      <w:r>
        <w:rPr>
          <w:sz w:val="19"/>
        </w:rPr>
        <w:t>• Solve complex form usability problems in a way that fits the high-volume environment of IT support staff.</w:t>
      </w:r>
    </w:p>
    <w:p>
      <w:pPr>
        <w:spacing w:after="60"/>
        <w:ind w:left="288"/>
      </w:pPr>
      <w:r>
        <w:rPr>
          <w:sz w:val="19"/>
        </w:rPr>
        <w:t>• Increase solution adoption by embedding real-time dynamic validations directly into the existing ServiceNow Agent Workspace.</w:t>
      </w:r>
    </w:p>
    <w:p>
      <w:pPr>
        <w:spacing w:after="60"/>
        <w:ind w:left="288"/>
      </w:pPr>
      <w:r>
        <w:rPr>
          <w:sz w:val="19"/>
        </w:rPr>
        <w:t>• Sharpen form interactions with clear contextual triggers (e.g., State changes, Priority escalations).</w:t>
      </w:r>
    </w:p>
    <w:p>
      <w:pPr>
        <w:spacing w:after="60"/>
        <w:ind w:left="288"/>
      </w:pPr>
      <w:r>
        <w:rPr>
          <w:sz w:val="19"/>
        </w:rPr>
        <w:t>• Build trust and data compliance by automatically enforcing mandatory resolution fields and securing closed incident records.</w:t>
      </w:r>
    </w:p>
    <w:p>
      <w:pPr>
        <w:spacing w:after="240"/>
      </w:pPr>
    </w:p>
    <w:p>
      <w:r>
        <w:rPr>
          <w:b/>
          <w:color w:val="1B365D"/>
          <w:sz w:val="28"/>
        </w:rPr>
        <w:t>2. Problem – Solution Fit Canvas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Canvas Building Block</w:t>
            </w:r>
          </w:p>
        </w:tc>
        <w:tc>
          <w:tcPr>
            <w:tcW w:type="dxa" w:w="5184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Application Details to Incident UI Policy</w:t>
            </w:r>
          </w:p>
        </w:tc>
        <w:tc>
          <w:tcPr>
            <w:tcW w:type="dxa" w:w="1440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Code</w:t>
            </w:r>
          </w:p>
        </w:tc>
      </w:tr>
      <w:tr>
        <w:tc>
          <w:tcPr>
            <w:tcW w:type="dxa" w:w="3168"/>
            <w:shd w:val="clear" w:color="auto" w:fill="EBF3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1. CUSTOMER SEGMENT(S)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IT Service Desk Analysts (Tier-1/Tier-2 Support Technicians), Incident Managers, and ITSM Administrators.</w:t>
            </w:r>
          </w:p>
        </w:tc>
        <w:tc>
          <w:tcPr>
            <w:tcW w:type="dxa" w:w="1440"/>
            <w:shd w:val="clear" w:color="auto" w:fill="EBF3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5A9E"/>
                <w:sz w:val="18"/>
              </w:rPr>
              <w:t>CS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2. JOBS-TO-BE-DONE / PROBLEMS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Log incoming user issues rapidly, triage priority, assign tickets accurately, and document mandatory resolution notes without getting bogged down by clutter.</w:t>
            </w:r>
          </w:p>
        </w:tc>
        <w:tc>
          <w:tcPr>
            <w:tcW w:type="dxa" w:w="1440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5A9E"/>
                <w:sz w:val="18"/>
              </w:rPr>
              <w:t>J&amp;P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3. TRIGGERS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State transitions on Incident records (e.g., moving to 'Resolved' or 'Closed'), Priority level changes (P1 Critical), or dropdown updates (Impact/Urgency).</w:t>
            </w:r>
          </w:p>
        </w:tc>
        <w:tc>
          <w:tcPr>
            <w:tcW w:type="dxa" w:w="1440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5A9E"/>
                <w:sz w:val="18"/>
              </w:rPr>
              <w:t>TR</w:t>
            </w:r>
          </w:p>
        </w:tc>
      </w:tr>
      <w:tr>
        <w:tc>
          <w:tcPr>
            <w:tcW w:type="dxa" w:w="3168"/>
            <w:shd w:val="clear" w:color="auto" w:fill="EBF3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4. EMOTIONS: BEFORE / AFTER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BEFORE: Frustrated by 30+ visible fields, anxious about missed mandatory inputs, overwhelmed by post-submit save errors.</w:t>
              <w:br/>
              <w:t>AFTER: Confident, fast, guided by dynamic forms, relieved by zero-latency client-side validations.</w:t>
            </w:r>
          </w:p>
        </w:tc>
        <w:tc>
          <w:tcPr>
            <w:tcW w:type="dxa" w:w="1440"/>
            <w:shd w:val="clear" w:color="auto" w:fill="EBF3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5A9E"/>
                <w:sz w:val="18"/>
              </w:rPr>
              <w:t>EM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5. AVAILABLE SOLUTIONS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Static incident forms displaying all fields at once, manual cheat-sheets, post-submission server validation popups, and periodic manual audits.</w:t>
            </w:r>
          </w:p>
        </w:tc>
        <w:tc>
          <w:tcPr>
            <w:tcW w:type="dxa" w:w="1440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5A9E"/>
                <w:sz w:val="18"/>
              </w:rPr>
              <w:t>AS</w:t>
            </w:r>
          </w:p>
        </w:tc>
      </w:tr>
      <w:tr>
        <w:tc>
          <w:tcPr>
            <w:tcW w:type="dxa" w:w="3168"/>
            <w:shd w:val="clear" w:color="auto" w:fill="FD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6. CUSTOMER CONSTRAINTS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High ticket volume during call shifts, strict SLA resolution windows, limited time for extensive training, and browser rendering constraints.</w:t>
            </w:r>
          </w:p>
        </w:tc>
        <w:tc>
          <w:tcPr>
            <w:tcW w:type="dxa" w:w="1440"/>
            <w:shd w:val="clear" w:color="auto" w:fill="FD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5A9E"/>
                <w:sz w:val="18"/>
              </w:rPr>
              <w:t>CC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7. BEHAVIOUR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Analysts manually scroll through busy forms while talking to customers, occasionally entering filler text if irrelevant fields are made forced too early.</w:t>
            </w:r>
          </w:p>
        </w:tc>
        <w:tc>
          <w:tcPr>
            <w:tcW w:type="dxa" w:w="1440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5A9E"/>
                <w:sz w:val="18"/>
              </w:rPr>
              <w:t>BE</w:t>
            </w:r>
          </w:p>
        </w:tc>
      </w:tr>
      <w:tr>
        <w:tc>
          <w:tcPr>
            <w:tcW w:type="dxa" w:w="3168"/>
            <w:shd w:val="clear" w:color="auto" w:fill="EBF3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8. CHANNELS OF BEHAVIOUR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• Online: ServiceNow Service Operations Workspace, Browser Agent Interface.</w:t>
              <w:br/>
              <w:t>• Offline: Support desk phone calls, IT team huddles, shift handover reviews.</w:t>
            </w:r>
          </w:p>
        </w:tc>
        <w:tc>
          <w:tcPr>
            <w:tcW w:type="dxa" w:w="1440"/>
            <w:shd w:val="clear" w:color="auto" w:fill="EBF3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5A9E"/>
                <w:sz w:val="18"/>
              </w:rPr>
              <w:t>CH</w:t>
            </w:r>
          </w:p>
        </w:tc>
      </w:tr>
      <w:tr>
        <w:tc>
          <w:tcPr>
            <w:tcW w:type="dxa" w:w="3168"/>
            <w:shd w:val="clear" w:color="auto" w:fill="FD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9. PROBLEM ROOT CAUSE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Absence of dynamic client-side UI Policies and event-driven scripts, resulting in static form configurations that treat all incident states identically.</w:t>
            </w:r>
          </w:p>
        </w:tc>
        <w:tc>
          <w:tcPr>
            <w:tcW w:type="dxa" w:w="1440"/>
            <w:shd w:val="clear" w:color="auto" w:fill="FD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5A9E"/>
                <w:sz w:val="18"/>
              </w:rPr>
              <w:t>RC</w:t>
            </w:r>
          </w:p>
        </w:tc>
      </w:tr>
      <w:tr>
        <w:tc>
          <w:tcPr>
            <w:tcW w:type="dxa" w:w="3168"/>
            <w:shd w:val="clear" w:color="auto"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10. YOUR SOLUTION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Declarative UI Policies (dynamic visibility, mandatory enforcement for P1/Resolved state, read-only lock for Closed state) + Client Scripts for real-time priority matrix auto-calculation.</w:t>
            </w:r>
          </w:p>
        </w:tc>
        <w:tc>
          <w:tcPr>
            <w:tcW w:type="dxa" w:w="1440"/>
            <w:shd w:val="clear" w:color="auto"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5A9E"/>
                <w:sz w:val="18"/>
              </w:rPr>
              <w:t>SL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3. Problem-Solution Fit Alignment Analysis</w:t>
      </w:r>
    </w:p>
    <w:p>
      <w:pPr>
        <w:spacing w:after="40"/>
      </w:pPr>
      <w:r>
        <w:rPr>
          <w:b/>
          <w:color w:val="005A9E"/>
        </w:rPr>
        <w:t xml:space="preserve">• Form Clutter vs. Dynamic Visibility (CS + J&amp;P -&gt; SL): </w:t>
      </w:r>
    </w:p>
    <w:p>
      <w:pPr>
        <w:spacing w:after="120" w:line="276" w:lineRule="auto"/>
        <w:ind w:left="288"/>
      </w:pPr>
      <w:r>
        <w:rPr>
          <w:sz w:val="19"/>
        </w:rPr>
        <w:t>Analyst frustration with 30+ visible fields is solved by keeping Resolution Code and Resolution Notes hidden during initial logging, revealing them only when State = Resolved.</w:t>
      </w:r>
    </w:p>
    <w:p>
      <w:pPr>
        <w:spacing w:after="40"/>
      </w:pPr>
      <w:r>
        <w:rPr>
          <w:b/>
          <w:color w:val="005A9E"/>
        </w:rPr>
        <w:t xml:space="preserve">• Incomplete Submissions vs. Dynamic Mandatory Rules (BE + RC -&gt; SL): </w:t>
      </w:r>
    </w:p>
    <w:p>
      <w:pPr>
        <w:spacing w:after="120" w:line="276" w:lineRule="auto"/>
        <w:ind w:left="288"/>
      </w:pPr>
      <w:r>
        <w:rPr>
          <w:sz w:val="19"/>
        </w:rPr>
        <w:t>Support analysts skipping critical details under high call volume is solved by enforcing mandatory Work Notes and Assignment Groups dynamically on Critical (P1/P2) incidents.</w:t>
      </w:r>
    </w:p>
    <w:p>
      <w:pPr>
        <w:spacing w:after="40"/>
      </w:pPr>
      <w:r>
        <w:rPr>
          <w:b/>
          <w:color w:val="005A9E"/>
        </w:rPr>
        <w:t xml:space="preserve">• Post-Closure Tampering vs. Read-Only Policy (RC -&gt; SL): </w:t>
      </w:r>
    </w:p>
    <w:p>
      <w:pPr>
        <w:spacing w:after="120" w:line="276" w:lineRule="auto"/>
        <w:ind w:left="288"/>
      </w:pPr>
      <w:r>
        <w:rPr>
          <w:sz w:val="19"/>
        </w:rPr>
        <w:t>Risk of accidental or unauthorized modifications to closed tickets is solved by automatically locking all incident fields to Read-Only once State reaches Closed.</w:t>
      </w:r>
    </w:p>
    <w:p>
      <w:pPr>
        <w:spacing w:after="40"/>
      </w:pPr>
      <w:r>
        <w:rPr>
          <w:b/>
          <w:color w:val="005A9E"/>
        </w:rPr>
        <w:t xml:space="preserve">• Slow Manual Triage vs. Client Script Priority Matrix (CC + TR -&gt; SL): </w:t>
      </w:r>
    </w:p>
    <w:p>
      <w:pPr>
        <w:spacing w:after="120" w:line="276" w:lineRule="auto"/>
        <w:ind w:left="288"/>
      </w:pPr>
      <w:r>
        <w:rPr>
          <w:sz w:val="19"/>
        </w:rPr>
        <w:t>Time lost manually looking up priority matrices is eliminated by an onChange Client Script that instantly recalculates Priority from Impact and Urgency on the browser client.</w:t>
      </w:r>
    </w:p>
    <w:p>
      <w:r>
        <w:rPr>
          <w:b/>
          <w:color w:val="1B365D"/>
          <w:sz w:val="28"/>
        </w:rPr>
        <w:t>References</w:t>
      </w:r>
    </w:p>
    <w:p>
      <w:pPr>
        <w:spacing w:after="60"/>
        <w:ind w:left="288"/>
      </w:pPr>
      <w:r>
        <w:rPr>
          <w:sz w:val="19"/>
        </w:rPr>
        <w:t>• Problem-Solution Fit Canvas: https://www.ideahackers.network/problem-solution-fit-canvas/</w:t>
      </w:r>
    </w:p>
    <w:p>
      <w:pPr>
        <w:spacing w:after="60"/>
        <w:ind w:left="288"/>
      </w:pPr>
      <w:r>
        <w:rPr>
          <w:sz w:val="19"/>
        </w:rPr>
        <w:t>• Problem-Solution Fit Guide on Medium: https://medium.com/@epicantus/problem-solution-fit-canvas-aa3dd59cb4fe</w:t>
      </w:r>
    </w:p>
    <w:p>
      <w:pPr>
        <w:spacing w:after="60"/>
        <w:ind w:left="288"/>
      </w:pPr>
      <w:r>
        <w:rPr>
          <w:sz w:val="19"/>
        </w:rPr>
        <w:t>• ServiceNow Developer Documentation (UI Policies &amp; Client Scripts): https://developer.servicenow.com/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