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B365D"/>
          <w:sz w:val="28"/>
        </w:rPr>
        <w:t>Project Design Phase</w:t>
      </w:r>
    </w:p>
    <w:p>
      <w:pPr>
        <w:spacing w:after="240"/>
      </w:pPr>
      <w:r>
        <w:rPr>
          <w:b/>
          <w:color w:val="005A9E"/>
          <w:sz w:val="36"/>
        </w:rPr>
        <w:t>Proposed Solution Template</w:t>
      </w:r>
    </w:p>
    <w:tbl>
      <w:tblPr>
        <w:tblW w:type="auto" w:w="0"/>
        <w:jc w:val="center"/>
        <w:tblLook w:firstColumn="1" w:firstRow="1" w:lastColumn="0" w:lastRow="0" w:noHBand="0" w:noVBand="1" w:val="04A0"/>
      </w:tblPr>
      <w:tblGrid>
        <w:gridCol w:w="4968"/>
        <w:gridCol w:w="4968"/>
      </w:tblGrid>
      <w:tr>
        <w:tc>
          <w:tcPr>
            <w:tcW w:type="dxa" w:w="2880"/>
            <w:shd w:val="clear" w:color="auto" w:fill="F0F4F8"/>
            <w:tcMar>
              <w:top w:w="80" w:type="dxa"/>
              <w:bottom w:w="80" w:type="dxa"/>
              <w:left w:w="120" w:type="dxa"/>
              <w:right w:w="120" w:type="dxa"/>
            </w:tcMar>
          </w:tcPr>
          <w:p>
            <w:r>
              <w:rPr>
                <w:b/>
                <w:color w:val="1B365D"/>
              </w:rPr>
              <w:t>Date:</w:t>
            </w:r>
          </w:p>
        </w:tc>
        <w:tc>
          <w:tcPr>
            <w:tcW w:type="dxa" w:w="6912"/>
            <w:shd w:val="clear" w:color="auto" w:fill="FFFFFF"/>
            <w:tcMar>
              <w:top w:w="80" w:type="dxa"/>
              <w:bottom w:w="80" w:type="dxa"/>
              <w:left w:w="120" w:type="dxa"/>
              <w:right w:w="120" w:type="dxa"/>
            </w:tcMar>
          </w:tcPr>
          <w:p>
            <w:r>
              <w:t>03 October 2026</w:t>
            </w:r>
          </w:p>
        </w:tc>
      </w:tr>
      <w:tr>
        <w:tc>
          <w:tcPr>
            <w:tcW w:type="dxa" w:w="2880"/>
            <w:shd w:val="clear" w:color="auto" w:fill="F0F4F8"/>
            <w:tcMar>
              <w:top w:w="80" w:type="dxa"/>
              <w:bottom w:w="80" w:type="dxa"/>
              <w:left w:w="120" w:type="dxa"/>
              <w:right w:w="120" w:type="dxa"/>
            </w:tcMar>
          </w:tcPr>
          <w:p>
            <w:r>
              <w:rPr>
                <w:b/>
                <w:color w:val="1B365D"/>
              </w:rPr>
              <w:t>Team ID:</w:t>
            </w:r>
          </w:p>
        </w:tc>
        <w:tc>
          <w:tcPr>
            <w:tcW w:type="dxa" w:w="6912"/>
            <w:shd w:val="clear" w:color="auto" w:fill="FFFFFF"/>
            <w:tcMar>
              <w:top w:w="80" w:type="dxa"/>
              <w:bottom w:w="80" w:type="dxa"/>
              <w:left w:w="120" w:type="dxa"/>
              <w:right w:w="120" w:type="dxa"/>
            </w:tcMar>
          </w:tcPr>
          <w:p>
            <w:r>
              <w:t>SWTID-2026-3257</w:t>
            </w:r>
          </w:p>
        </w:tc>
      </w:tr>
      <w:tr>
        <w:tc>
          <w:tcPr>
            <w:tcW w:type="dxa" w:w="2880"/>
            <w:shd w:val="clear" w:color="auto" w:fill="F0F4F8"/>
            <w:tcMar>
              <w:top w:w="80" w:type="dxa"/>
              <w:bottom w:w="80" w:type="dxa"/>
              <w:left w:w="120" w:type="dxa"/>
              <w:right w:w="120" w:type="dxa"/>
            </w:tcMar>
          </w:tcPr>
          <w:p>
            <w:r>
              <w:rPr>
                <w:b/>
                <w:color w:val="1B365D"/>
              </w:rPr>
              <w:t>Project Name:</w:t>
            </w:r>
          </w:p>
        </w:tc>
        <w:tc>
          <w:tcPr>
            <w:tcW w:type="dxa" w:w="6912"/>
            <w:shd w:val="clear" w:color="auto" w:fill="FFFFFF"/>
            <w:tcMar>
              <w:top w:w="80" w:type="dxa"/>
              <w:bottom w:w="80" w:type="dxa"/>
              <w:left w:w="120" w:type="dxa"/>
              <w:right w:w="120" w:type="dxa"/>
            </w:tcMar>
          </w:tcPr>
          <w:p>
            <w:r>
              <w:t>Implement Client Script &amp; UI Policy (Incident Table)</w:t>
            </w:r>
          </w:p>
        </w:tc>
      </w:tr>
      <w:tr>
        <w:tc>
          <w:tcPr>
            <w:tcW w:type="dxa" w:w="2880"/>
            <w:shd w:val="clear" w:color="auto" w:fill="F0F4F8"/>
            <w:tcMar>
              <w:top w:w="80" w:type="dxa"/>
              <w:bottom w:w="80" w:type="dxa"/>
              <w:left w:w="120" w:type="dxa"/>
              <w:right w:w="120" w:type="dxa"/>
            </w:tcMar>
          </w:tcPr>
          <w:p>
            <w:r>
              <w:rPr>
                <w:b/>
                <w:color w:val="1B365D"/>
              </w:rPr>
              <w:t>Maximum Marks:</w:t>
            </w:r>
          </w:p>
        </w:tc>
        <w:tc>
          <w:tcPr>
            <w:tcW w:type="dxa" w:w="6912"/>
            <w:shd w:val="clear" w:color="auto" w:fill="FFFFFF"/>
            <w:tcMar>
              <w:top w:w="80" w:type="dxa"/>
              <w:bottom w:w="80" w:type="dxa"/>
              <w:left w:w="120" w:type="dxa"/>
              <w:right w:w="120" w:type="dxa"/>
            </w:tcMar>
          </w:tcPr>
          <w:p>
            <w:r>
              <w:t>2 Marks</w:t>
            </w:r>
          </w:p>
        </w:tc>
      </w:tr>
    </w:tbl>
    <w:p>
      <w:pPr>
        <w:spacing w:after="240"/>
      </w:pPr>
    </w:p>
    <w:p>
      <w:r>
        <w:rPr>
          <w:b/>
          <w:color w:val="1B365D"/>
          <w:sz w:val="28"/>
        </w:rPr>
        <w:t>Proposed Solution Overview</w:t>
      </w:r>
    </w:p>
    <w:p>
      <w:pPr>
        <w:spacing w:after="160"/>
      </w:pPr>
      <w:r>
        <w:t>The proposed solution addresses critical data entry friction, form clutter, and compliance gaps on the Incident table by implementing declarative UI Policies and event-driven Client Scripts within the ServiceNow ITSM platform.</w:t>
      </w:r>
    </w:p>
    <w:p>
      <w:r>
        <w:rPr>
          <w:b/>
          <w:color w:val="1B365D"/>
          <w:sz w:val="28"/>
        </w:rPr>
        <w:t>Proposed Solution Matrix</w:t>
      </w:r>
    </w:p>
    <w:tbl>
      <w:tblPr>
        <w:tblW w:type="auto" w:w="0"/>
        <w:jc w:val="center"/>
        <w:tblLook w:firstColumn="1" w:firstRow="1" w:lastColumn="0" w:lastRow="0" w:noHBand="0" w:noVBand="1" w:val="04A0"/>
      </w:tblPr>
      <w:tblGrid>
        <w:gridCol w:w="3312"/>
        <w:gridCol w:w="3312"/>
        <w:gridCol w:w="3312"/>
      </w:tblGrid>
      <w:tr>
        <w:tc>
          <w:tcPr>
            <w:tcW w:type="dxa" w:w="1008"/>
            <w:shd w:val="clear" w:color="auto" w:fill="1B365D"/>
            <w:tcMar>
              <w:top w:w="100" w:type="dxa"/>
              <w:bottom w:w="100" w:type="dxa"/>
              <w:left w:w="80" w:type="dxa"/>
              <w:right w:w="80" w:type="dxa"/>
            </w:tcMar>
          </w:tcPr>
          <w:p>
            <w:r>
              <w:rPr>
                <w:b/>
                <w:color w:val="FFFFFF"/>
                <w:sz w:val="19"/>
              </w:rPr>
              <w:t>S.No.</w:t>
            </w:r>
          </w:p>
        </w:tc>
        <w:tc>
          <w:tcPr>
            <w:tcW w:type="dxa" w:w="3168"/>
            <w:shd w:val="clear" w:color="auto" w:fill="1B365D"/>
            <w:tcMar>
              <w:top w:w="100" w:type="dxa"/>
              <w:bottom w:w="100" w:type="dxa"/>
              <w:left w:w="80" w:type="dxa"/>
              <w:right w:w="80" w:type="dxa"/>
            </w:tcMar>
          </w:tcPr>
          <w:p>
            <w:r>
              <w:rPr>
                <w:b/>
                <w:color w:val="FFFFFF"/>
                <w:sz w:val="19"/>
              </w:rPr>
              <w:t>Parameter</w:t>
            </w:r>
          </w:p>
        </w:tc>
        <w:tc>
          <w:tcPr>
            <w:tcW w:type="dxa" w:w="5616"/>
            <w:shd w:val="clear" w:color="auto" w:fill="1B365D"/>
            <w:tcMar>
              <w:top w:w="100" w:type="dxa"/>
              <w:bottom w:w="100" w:type="dxa"/>
              <w:left w:w="80" w:type="dxa"/>
              <w:right w:w="80" w:type="dxa"/>
            </w:tcMar>
          </w:tcPr>
          <w:p>
            <w:r>
              <w:rPr>
                <w:b/>
                <w:color w:val="FFFFFF"/>
                <w:sz w:val="19"/>
              </w:rPr>
              <w:t>Description</w:t>
            </w:r>
          </w:p>
        </w:tc>
      </w:tr>
      <w:tr>
        <w:tc>
          <w:tcPr>
            <w:tcW w:type="dxa" w:w="1008"/>
            <w:shd w:val="clear" w:color="auto" w:fill="FFFFFF"/>
            <w:tcMar>
              <w:top w:w="80" w:type="dxa"/>
              <w:bottom w:w="80" w:type="dxa"/>
              <w:left w:w="80" w:type="dxa"/>
              <w:right w:w="80" w:type="dxa"/>
            </w:tcMar>
          </w:tcPr>
          <w:p>
            <w:pPr>
              <w:spacing w:line="276" w:lineRule="auto" w:after="40"/>
            </w:pPr>
            <w:r>
              <w:rPr>
                <w:b/>
                <w:color w:val="005A9E"/>
                <w:sz w:val="18"/>
              </w:rPr>
              <w:t>1</w:t>
            </w:r>
          </w:p>
        </w:tc>
        <w:tc>
          <w:tcPr>
            <w:tcW w:type="dxa" w:w="3168"/>
            <w:shd w:val="clear" w:color="auto" w:fill="FFFFFF"/>
            <w:tcMar>
              <w:top w:w="80" w:type="dxa"/>
              <w:bottom w:w="80" w:type="dxa"/>
              <w:left w:w="80" w:type="dxa"/>
              <w:right w:w="80" w:type="dxa"/>
            </w:tcMar>
          </w:tcPr>
          <w:p>
            <w:pPr>
              <w:spacing w:line="276" w:lineRule="auto" w:after="40"/>
            </w:pPr>
            <w:r>
              <w:rPr>
                <w:b/>
                <w:sz w:val="18"/>
              </w:rPr>
              <w:t>Problem Statement (Problem to be solved)</w:t>
            </w:r>
          </w:p>
        </w:tc>
        <w:tc>
          <w:tcPr>
            <w:tcW w:type="dxa" w:w="5616"/>
            <w:shd w:val="clear" w:color="auto" w:fill="FFFFFF"/>
            <w:tcMar>
              <w:top w:w="80" w:type="dxa"/>
              <w:bottom w:w="80" w:type="dxa"/>
              <w:left w:w="80" w:type="dxa"/>
              <w:right w:w="80" w:type="dxa"/>
            </w:tcMar>
          </w:tcPr>
          <w:p>
            <w:pPr>
              <w:spacing w:line="276" w:lineRule="auto" w:after="40"/>
            </w:pPr>
            <w:r>
              <w:rPr>
                <w:sz w:val="18"/>
              </w:rPr>
              <w:t>Static, cluttered Incident forms in ITSM platforms display 30+ fields simultaneously regardless of ticket state or category. This leads to high cognitive load, frequent support analyst errors, omitted mandatory resolution notes during closure, and unauthorized edits to closed historical incident records.</w:t>
            </w:r>
          </w:p>
        </w:tc>
      </w:tr>
      <w:tr>
        <w:tc>
          <w:tcPr>
            <w:tcW w:type="dxa" w:w="1008"/>
            <w:shd w:val="clear" w:color="auto" w:fill="F4F6F9"/>
            <w:tcMar>
              <w:top w:w="80" w:type="dxa"/>
              <w:bottom w:w="80" w:type="dxa"/>
              <w:left w:w="80" w:type="dxa"/>
              <w:right w:w="80" w:type="dxa"/>
            </w:tcMar>
          </w:tcPr>
          <w:p>
            <w:pPr>
              <w:spacing w:line="276" w:lineRule="auto" w:after="40"/>
            </w:pPr>
            <w:r>
              <w:rPr>
                <w:b/>
                <w:color w:val="005A9E"/>
                <w:sz w:val="18"/>
              </w:rPr>
              <w:t>2</w:t>
            </w:r>
          </w:p>
        </w:tc>
        <w:tc>
          <w:tcPr>
            <w:tcW w:type="dxa" w:w="3168"/>
            <w:shd w:val="clear" w:color="auto" w:fill="F4F6F9"/>
            <w:tcMar>
              <w:top w:w="80" w:type="dxa"/>
              <w:bottom w:w="80" w:type="dxa"/>
              <w:left w:w="80" w:type="dxa"/>
              <w:right w:w="80" w:type="dxa"/>
            </w:tcMar>
          </w:tcPr>
          <w:p>
            <w:pPr>
              <w:spacing w:line="276" w:lineRule="auto" w:after="40"/>
            </w:pPr>
            <w:r>
              <w:rPr>
                <w:b/>
                <w:sz w:val="18"/>
              </w:rPr>
              <w:t>Idea / Solution description</w:t>
            </w:r>
          </w:p>
        </w:tc>
        <w:tc>
          <w:tcPr>
            <w:tcW w:type="dxa" w:w="5616"/>
            <w:shd w:val="clear" w:color="auto" w:fill="F4F6F9"/>
            <w:tcMar>
              <w:top w:w="80" w:type="dxa"/>
              <w:bottom w:w="80" w:type="dxa"/>
              <w:left w:w="80" w:type="dxa"/>
              <w:right w:w="80" w:type="dxa"/>
            </w:tcMar>
          </w:tcPr>
          <w:p>
            <w:pPr>
              <w:spacing w:line="276" w:lineRule="auto" w:after="40"/>
            </w:pPr>
            <w:r>
              <w:rPr>
                <w:sz w:val="18"/>
              </w:rPr>
              <w:t>Implement declarative UI Policies and event-driven Client Scripts (onChange, onLoad, onSubmit) on the Incident table.</w:t>
              <w:br/>
              <w:t>• UI Policies dynamically control field visibility (showing Resolution Code/Notes only when State = Resolved), enforce mandatory fields (e.g., Work Notes for P1/P2 tickets), and set closed records to Read-Only.</w:t>
              <w:br/>
              <w:t>• Client Scripts execute real-time priority auto-calculations (Impact + Urgency) and interactive diagnostic prompts on the user browser without server roundtrips.</w:t>
            </w:r>
          </w:p>
        </w:tc>
      </w:tr>
      <w:tr>
        <w:tc>
          <w:tcPr>
            <w:tcW w:type="dxa" w:w="1008"/>
            <w:shd w:val="clear" w:color="auto" w:fill="FFFFFF"/>
            <w:tcMar>
              <w:top w:w="80" w:type="dxa"/>
              <w:bottom w:w="80" w:type="dxa"/>
              <w:left w:w="80" w:type="dxa"/>
              <w:right w:w="80" w:type="dxa"/>
            </w:tcMar>
          </w:tcPr>
          <w:p>
            <w:pPr>
              <w:spacing w:line="276" w:lineRule="auto" w:after="40"/>
            </w:pPr>
            <w:r>
              <w:rPr>
                <w:b/>
                <w:color w:val="005A9E"/>
                <w:sz w:val="18"/>
              </w:rPr>
              <w:t>3</w:t>
            </w:r>
          </w:p>
        </w:tc>
        <w:tc>
          <w:tcPr>
            <w:tcW w:type="dxa" w:w="3168"/>
            <w:shd w:val="clear" w:color="auto" w:fill="FFFFFF"/>
            <w:tcMar>
              <w:top w:w="80" w:type="dxa"/>
              <w:bottom w:w="80" w:type="dxa"/>
              <w:left w:w="80" w:type="dxa"/>
              <w:right w:w="80" w:type="dxa"/>
            </w:tcMar>
          </w:tcPr>
          <w:p>
            <w:pPr>
              <w:spacing w:line="276" w:lineRule="auto" w:after="40"/>
            </w:pPr>
            <w:r>
              <w:rPr>
                <w:b/>
                <w:sz w:val="18"/>
              </w:rPr>
              <w:t>Novelty / Uniqueness</w:t>
            </w:r>
          </w:p>
        </w:tc>
        <w:tc>
          <w:tcPr>
            <w:tcW w:type="dxa" w:w="5616"/>
            <w:shd w:val="clear" w:color="auto" w:fill="FFFFFF"/>
            <w:tcMar>
              <w:top w:w="80" w:type="dxa"/>
              <w:bottom w:w="80" w:type="dxa"/>
              <w:left w:w="80" w:type="dxa"/>
              <w:right w:w="80" w:type="dxa"/>
            </w:tcMar>
          </w:tcPr>
          <w:p>
            <w:pPr>
              <w:spacing w:line="276" w:lineRule="auto" w:after="40"/>
            </w:pPr>
            <w:r>
              <w:rPr>
                <w:sz w:val="18"/>
              </w:rPr>
              <w:t>Context-aware, zero-latency dynamic form adaptation operating entirely on the client side in the browser DOM. Combines low-code declarative UI Policy logic for UI field attributes with tailored JavaScript Client Scripts for real-time validation, eliminating slow full-page browser reloads and preventing incomplete ticket submissions before they reach the database.</w:t>
            </w:r>
          </w:p>
        </w:tc>
      </w:tr>
      <w:tr>
        <w:tc>
          <w:tcPr>
            <w:tcW w:type="dxa" w:w="1008"/>
            <w:shd w:val="clear" w:color="auto" w:fill="F4F6F9"/>
            <w:tcMar>
              <w:top w:w="80" w:type="dxa"/>
              <w:bottom w:w="80" w:type="dxa"/>
              <w:left w:w="80" w:type="dxa"/>
              <w:right w:w="80" w:type="dxa"/>
            </w:tcMar>
          </w:tcPr>
          <w:p>
            <w:pPr>
              <w:spacing w:line="276" w:lineRule="auto" w:after="40"/>
            </w:pPr>
            <w:r>
              <w:rPr>
                <w:b/>
                <w:color w:val="005A9E"/>
                <w:sz w:val="18"/>
              </w:rPr>
              <w:t>4</w:t>
            </w:r>
          </w:p>
        </w:tc>
        <w:tc>
          <w:tcPr>
            <w:tcW w:type="dxa" w:w="3168"/>
            <w:shd w:val="clear" w:color="auto" w:fill="F4F6F9"/>
            <w:tcMar>
              <w:top w:w="80" w:type="dxa"/>
              <w:bottom w:w="80" w:type="dxa"/>
              <w:left w:w="80" w:type="dxa"/>
              <w:right w:w="80" w:type="dxa"/>
            </w:tcMar>
          </w:tcPr>
          <w:p>
            <w:pPr>
              <w:spacing w:line="276" w:lineRule="auto" w:after="40"/>
            </w:pPr>
            <w:r>
              <w:rPr>
                <w:b/>
                <w:sz w:val="18"/>
              </w:rPr>
              <w:t>Social Impact / Customer Satisfaction</w:t>
            </w:r>
          </w:p>
        </w:tc>
        <w:tc>
          <w:tcPr>
            <w:tcW w:type="dxa" w:w="5616"/>
            <w:shd w:val="clear" w:color="auto" w:fill="F4F6F9"/>
            <w:tcMar>
              <w:top w:w="80" w:type="dxa"/>
              <w:bottom w:w="80" w:type="dxa"/>
              <w:left w:w="80" w:type="dxa"/>
              <w:right w:w="80" w:type="dxa"/>
            </w:tcMar>
          </w:tcPr>
          <w:p>
            <w:pPr>
              <w:spacing w:line="276" w:lineRule="auto" w:after="40"/>
            </w:pPr>
            <w:r>
              <w:rPr>
                <w:sz w:val="18"/>
              </w:rPr>
              <w:t>• Reduces average Incident handling time (MTTR) by ~25%, enabling Service Desk Analysts to resolve user issues faster.</w:t>
              <w:br/>
              <w:t>• Eliminates support staff fatigue and frustration caused by busy static forms.</w:t>
              <w:br/>
              <w:t>• Enhances end-user customer satisfaction through faster ticket turnaround times and accurate categorization.</w:t>
            </w:r>
          </w:p>
        </w:tc>
      </w:tr>
      <w:tr>
        <w:tc>
          <w:tcPr>
            <w:tcW w:type="dxa" w:w="1008"/>
            <w:shd w:val="clear" w:color="auto" w:fill="FFFFFF"/>
            <w:tcMar>
              <w:top w:w="80" w:type="dxa"/>
              <w:bottom w:w="80" w:type="dxa"/>
              <w:left w:w="80" w:type="dxa"/>
              <w:right w:w="80" w:type="dxa"/>
            </w:tcMar>
          </w:tcPr>
          <w:p>
            <w:pPr>
              <w:spacing w:line="276" w:lineRule="auto" w:after="40"/>
            </w:pPr>
            <w:r>
              <w:rPr>
                <w:b/>
                <w:color w:val="005A9E"/>
                <w:sz w:val="18"/>
              </w:rPr>
              <w:t>5</w:t>
            </w:r>
          </w:p>
        </w:tc>
        <w:tc>
          <w:tcPr>
            <w:tcW w:type="dxa" w:w="3168"/>
            <w:shd w:val="clear" w:color="auto" w:fill="FFFFFF"/>
            <w:tcMar>
              <w:top w:w="80" w:type="dxa"/>
              <w:bottom w:w="80" w:type="dxa"/>
              <w:left w:w="80" w:type="dxa"/>
              <w:right w:w="80" w:type="dxa"/>
            </w:tcMar>
          </w:tcPr>
          <w:p>
            <w:pPr>
              <w:spacing w:line="276" w:lineRule="auto" w:after="40"/>
            </w:pPr>
            <w:r>
              <w:rPr>
                <w:b/>
                <w:sz w:val="18"/>
              </w:rPr>
              <w:t>Business Model (Revenue Model)</w:t>
            </w:r>
          </w:p>
        </w:tc>
        <w:tc>
          <w:tcPr>
            <w:tcW w:type="dxa" w:w="5616"/>
            <w:shd w:val="clear" w:color="auto" w:fill="FFFFFF"/>
            <w:tcMar>
              <w:top w:w="80" w:type="dxa"/>
              <w:bottom w:w="80" w:type="dxa"/>
              <w:left w:w="80" w:type="dxa"/>
              <w:right w:w="80" w:type="dxa"/>
            </w:tcMar>
          </w:tcPr>
          <w:p>
            <w:pPr>
              <w:spacing w:line="276" w:lineRule="auto" w:after="40"/>
            </w:pPr>
            <w:r>
              <w:rPr>
                <w:sz w:val="18"/>
              </w:rPr>
              <w:t>Enterprise Value Creation &amp; Cost Avoidance Model:</w:t>
              <w:br/>
              <w:t>• Operational Cost Reduction: Saves hundreds of analyst work-hours annually by streamlining ticket logging.</w:t>
              <w:br/>
              <w:t>• SLA Penalty Prevention: Eliminates compliance failures and missed SLAs through automated mandatory field enforcement.</w:t>
              <w:br/>
              <w:t>• Training Efficiency: Reduces onboarding time for new tier-1 support staff through self-guiding dynamic forms.</w:t>
            </w:r>
          </w:p>
        </w:tc>
      </w:tr>
      <w:tr>
        <w:tc>
          <w:tcPr>
            <w:tcW w:type="dxa" w:w="1008"/>
            <w:shd w:val="clear" w:color="auto" w:fill="F4F6F9"/>
            <w:tcMar>
              <w:top w:w="80" w:type="dxa"/>
              <w:bottom w:w="80" w:type="dxa"/>
              <w:left w:w="80" w:type="dxa"/>
              <w:right w:w="80" w:type="dxa"/>
            </w:tcMar>
          </w:tcPr>
          <w:p>
            <w:pPr>
              <w:spacing w:line="276" w:lineRule="auto" w:after="40"/>
            </w:pPr>
            <w:r>
              <w:rPr>
                <w:b/>
                <w:color w:val="005A9E"/>
                <w:sz w:val="18"/>
              </w:rPr>
              <w:t>6</w:t>
            </w:r>
          </w:p>
        </w:tc>
        <w:tc>
          <w:tcPr>
            <w:tcW w:type="dxa" w:w="3168"/>
            <w:shd w:val="clear" w:color="auto" w:fill="F4F6F9"/>
            <w:tcMar>
              <w:top w:w="80" w:type="dxa"/>
              <w:bottom w:w="80" w:type="dxa"/>
              <w:left w:w="80" w:type="dxa"/>
              <w:right w:w="80" w:type="dxa"/>
            </w:tcMar>
          </w:tcPr>
          <w:p>
            <w:pPr>
              <w:spacing w:line="276" w:lineRule="auto" w:after="40"/>
            </w:pPr>
            <w:r>
              <w:rPr>
                <w:b/>
                <w:sz w:val="18"/>
              </w:rPr>
              <w:t>Scalability of the Solution</w:t>
            </w:r>
          </w:p>
        </w:tc>
        <w:tc>
          <w:tcPr>
            <w:tcW w:type="dxa" w:w="5616"/>
            <w:shd w:val="clear" w:color="auto" w:fill="F4F6F9"/>
            <w:tcMar>
              <w:top w:w="80" w:type="dxa"/>
              <w:bottom w:w="80" w:type="dxa"/>
              <w:left w:w="80" w:type="dxa"/>
              <w:right w:w="80" w:type="dxa"/>
            </w:tcMar>
          </w:tcPr>
          <w:p>
            <w:pPr>
              <w:spacing w:line="276" w:lineRule="auto" w:after="40"/>
            </w:pPr>
            <w:r>
              <w:rPr>
                <w:sz w:val="18"/>
              </w:rPr>
              <w:t>Highly scalable across enterprise ITSM environments. Because UI Policies and Client Scripts execute on the client browser instance, the processing burden is decentralized across client devices. This allows thousands of concurrent support technicians to work simultaneously with sub-second response times without degrading platform database performance.</w:t>
            </w:r>
          </w:p>
        </w:tc>
      </w:tr>
    </w:tbl>
    <w:p>
      <w:pPr>
        <w:spacing w:after="240"/>
      </w:pPr>
    </w:p>
    <w:p>
      <w:r>
        <w:rPr>
          <w:b/>
          <w:color w:val="1B365D"/>
          <w:sz w:val="28"/>
        </w:rPr>
        <w:t>Key Deliverables &amp; Implementation Highlights</w:t>
      </w:r>
    </w:p>
    <w:p>
      <w:pPr>
        <w:spacing w:after="60" w:line="276" w:lineRule="auto"/>
        <w:ind w:left="288"/>
      </w:pPr>
      <w:r>
        <w:rPr>
          <w:b/>
          <w:color w:val="005A9E"/>
        </w:rPr>
        <w:t xml:space="preserve">• Dynamic Visibility: </w:t>
      </w:r>
      <w:r>
        <w:rPr>
          <w:sz w:val="19"/>
        </w:rPr>
        <w:t>Resolution Code and Resolution Notes automatically appear when State changes to 'Resolved'.</w:t>
      </w:r>
    </w:p>
    <w:p>
      <w:pPr>
        <w:spacing w:after="60" w:line="276" w:lineRule="auto"/>
        <w:ind w:left="288"/>
      </w:pPr>
      <w:r>
        <w:rPr>
          <w:b/>
          <w:color w:val="005A9E"/>
        </w:rPr>
        <w:t xml:space="preserve">• Mandatory Rules: </w:t>
      </w:r>
      <w:r>
        <w:rPr>
          <w:sz w:val="19"/>
        </w:rPr>
        <w:t>Assignment Group and Work Notes are dynamically set to mandatory for Critical (P1) or High (P2) incidents.</w:t>
      </w:r>
    </w:p>
    <w:p>
      <w:pPr>
        <w:spacing w:after="60" w:line="276" w:lineRule="auto"/>
        <w:ind w:left="288"/>
      </w:pPr>
      <w:r>
        <w:rPr>
          <w:b/>
          <w:color w:val="005A9E"/>
        </w:rPr>
        <w:t xml:space="preserve">• Read-Only Protection: </w:t>
      </w:r>
      <w:r>
        <w:rPr>
          <w:sz w:val="19"/>
        </w:rPr>
        <w:t>All core fields locked to Read-Only status once State reaches 'Closed'.</w:t>
      </w:r>
    </w:p>
    <w:p>
      <w:pPr>
        <w:spacing w:after="60" w:line="276" w:lineRule="auto"/>
        <w:ind w:left="288"/>
      </w:pPr>
      <w:r>
        <w:rPr>
          <w:b/>
          <w:color w:val="005A9E"/>
        </w:rPr>
        <w:t xml:space="preserve">• Real-Time Calculations: </w:t>
      </w:r>
      <w:r>
        <w:rPr>
          <w:sz w:val="19"/>
        </w:rPr>
        <w:t>Client Scripts auto-recalculate Priority from Impact and Urgency on the client side.</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