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365D"/>
          <w:sz w:val="28"/>
        </w:rPr>
        <w:t>Project Design Phase</w:t>
      </w:r>
    </w:p>
    <w:p>
      <w:pPr>
        <w:spacing w:after="240"/>
      </w:pPr>
      <w:r>
        <w:rPr>
          <w:b/>
          <w:color w:val="005A9E"/>
          <w:sz w:val="36"/>
        </w:rPr>
        <w:t>Solution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Date: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03 October 2026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Team ID: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SWTID-2026-3257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Project Name: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Implement Client Script &amp; UI Policy (Incident Table)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Maximum Marks: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Marks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1. Solution Architecture Overview &amp; Goals</w:t>
      </w:r>
    </w:p>
    <w:p>
      <w:pPr>
        <w:spacing w:after="160"/>
      </w:pPr>
      <w:r>
        <w:t>Solution architecture bridges the gap between business problems and technology solutions. For the 'Implement Client Script &amp; UI Policy on Incident Table' project, the architecture defines how dynamic client-side controls interact with the ITSM platform application engine and cloud database to streamline ticket management and maintain strict data governance.</w:t>
      </w:r>
    </w:p>
    <w:p>
      <w:pPr>
        <w:spacing w:after="60"/>
        <w:ind w:left="288"/>
      </w:pPr>
      <w:r>
        <w:rPr>
          <w:sz w:val="19"/>
        </w:rPr>
        <w:t>• Find the best technical solution to eliminate data entry errors and form clutter on the Incident table.</w:t>
      </w:r>
    </w:p>
    <w:p>
      <w:pPr>
        <w:spacing w:after="60"/>
        <w:ind w:left="288"/>
      </w:pPr>
      <w:r>
        <w:rPr>
          <w:sz w:val="19"/>
        </w:rPr>
        <w:t>• Describe the structure, characteristics, and dynamic behaviors of Client Scripts and UI Policies for project stakeholders.</w:t>
      </w:r>
    </w:p>
    <w:p>
      <w:pPr>
        <w:spacing w:after="60"/>
        <w:ind w:left="288"/>
      </w:pPr>
      <w:r>
        <w:rPr>
          <w:sz w:val="19"/>
        </w:rPr>
        <w:t>• Define features, development phases, and solution requirements across ticket lifecycle states (New, In Progress, Resolved, Closed).</w:t>
      </w:r>
    </w:p>
    <w:p>
      <w:pPr>
        <w:spacing w:after="60"/>
        <w:ind w:left="288"/>
      </w:pPr>
      <w:r>
        <w:rPr>
          <w:sz w:val="19"/>
        </w:rPr>
        <w:t>• Provide clear specifications according to which the dynamic UI policies and validation scripts are delivered and managed.</w:t>
      </w:r>
    </w:p>
    <w:p>
      <w:pPr>
        <w:spacing w:after="240"/>
      </w:pPr>
    </w:p>
    <w:p>
      <w:r>
        <w:rPr>
          <w:b/>
          <w:color w:val="1B365D"/>
          <w:sz w:val="28"/>
        </w:rPr>
        <w:t>2. Architectural Components &amp; Interaction Flow</w:t>
      </w:r>
    </w:p>
    <w:p>
      <w:pPr>
        <w:spacing w:after="160"/>
      </w:pPr>
      <w:r>
        <w:t>The solution architecture consists of three primary layers: Presentation Layer (Browser Client), Platform Business Logic Layer (Client Script &amp; UI Policy Engine), and Data Persistence Layer (Cloud DB).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4608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Role &amp; Description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Technical Stack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Presentation Layer (User Interface)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Service Operations Workspace / Incident Form UI where Service Desk Analysts enter ticket data.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HTML5, CSS3, GlideForm (g_form) API</w:t>
            </w:r>
          </w:p>
        </w:tc>
      </w:tr>
      <w:tr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Client-Side Policy Engine (UI Policies)</w:t>
            </w:r>
          </w:p>
        </w:tc>
        <w:tc>
          <w:tcPr>
            <w:tcW w:type="dxa" w:w="4608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Evaluates field conditions declarative-style (e.g., State = Resolved) to toggle field visibility, mandatory status, and read-only attributes.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ServiceNow UI Policy Engine, JavaScript DOM manipulation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Client-Side Execution Engine (Client Scripts)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Listens for field events (onChange, onLoad, onSubmit) to execute real-time calculations (Priority matrix) and user guidance prompts.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JavaScript, GlideForm (g_form), GlideUser (g_user), GlideAjax</w:t>
            </w:r>
          </w:p>
        </w:tc>
      </w:tr>
      <w:tr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Server Application Layer</w:t>
            </w:r>
          </w:p>
        </w:tc>
        <w:tc>
          <w:tcPr>
            <w:tcW w:type="dxa" w:w="4608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Processes validated payload submissions, enforces server-side business rules, and triggers automated workflows.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ServiceNow Application Engine, Glide System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Database &amp; Audit Layer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Stores incident records, state logs, assignment histories, and audit trails.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Relational Database Instance (MariaDB / MySQL Enterprise Cloud)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3. End-to-End Incident Lifecycle Architecture Flow</w:t>
      </w:r>
    </w:p>
    <w:p>
      <w:pPr>
        <w:spacing w:after="40"/>
      </w:pPr>
      <w:r>
        <w:rPr>
          <w:b/>
          <w:color w:val="005A9E"/>
          <w:sz w:val="21"/>
        </w:rPr>
        <w:t>Phase 1: Form Initialization (onLoad)</w:t>
      </w:r>
    </w:p>
    <w:p>
      <w:pPr>
        <w:spacing w:after="120" w:line="276" w:lineRule="auto"/>
        <w:ind w:left="288"/>
      </w:pPr>
      <w:r>
        <w:rPr>
          <w:sz w:val="19"/>
        </w:rPr>
        <w:t>When an analyst opens an incident record, the onLoad Client Script checks user roles and sets initial field layout, keeping resolution fields hidden.</w:t>
      </w:r>
    </w:p>
    <w:p>
      <w:pPr>
        <w:spacing w:after="40"/>
      </w:pPr>
      <w:r>
        <w:rPr>
          <w:b/>
          <w:color w:val="005A9E"/>
          <w:sz w:val="21"/>
        </w:rPr>
        <w:t>Phase 2: Triage &amp; Dynamic Calculation (onChange)</w:t>
      </w:r>
    </w:p>
    <w:p>
      <w:pPr>
        <w:spacing w:after="120" w:line="276" w:lineRule="auto"/>
        <w:ind w:left="288"/>
      </w:pPr>
      <w:r>
        <w:rPr>
          <w:sz w:val="19"/>
        </w:rPr>
        <w:t>As Impact or Urgency is updated, an onChange Client Script auto-recalculates Priority instantaneously without page refresh. If Priority = P1, a UI Policy dynamically requires Work Notes.</w:t>
      </w:r>
    </w:p>
    <w:p>
      <w:pPr>
        <w:spacing w:after="40"/>
      </w:pPr>
      <w:r>
        <w:rPr>
          <w:b/>
          <w:color w:val="005A9E"/>
          <w:sz w:val="21"/>
        </w:rPr>
        <w:t>Phase 3: Ticket Resolution (State = Resolved)</w:t>
      </w:r>
    </w:p>
    <w:p>
      <w:pPr>
        <w:spacing w:after="120" w:line="276" w:lineRule="auto"/>
        <w:ind w:left="288"/>
      </w:pPr>
      <w:r>
        <w:rPr>
          <w:sz w:val="19"/>
        </w:rPr>
        <w:t>When State is switched to 'Resolved', a UI Policy triggers to reveal 'Resolution Code' and 'Resolution Notes', marking both as mandatory.</w:t>
      </w:r>
    </w:p>
    <w:p>
      <w:pPr>
        <w:spacing w:after="40"/>
      </w:pPr>
      <w:r>
        <w:rPr>
          <w:b/>
          <w:color w:val="005A9E"/>
          <w:sz w:val="21"/>
        </w:rPr>
        <w:t>Phase 4: Form Submission (onSubmit)</w:t>
      </w:r>
    </w:p>
    <w:p>
      <w:pPr>
        <w:spacing w:after="120" w:line="276" w:lineRule="auto"/>
        <w:ind w:left="288"/>
      </w:pPr>
      <w:r>
        <w:rPr>
          <w:sz w:val="19"/>
        </w:rPr>
        <w:t>The onSubmit Client Script verifies all mandatory fields are populated. If valid, data is sent via HTTPS REST API to the platform engine.</w:t>
      </w:r>
    </w:p>
    <w:p>
      <w:pPr>
        <w:spacing w:after="40"/>
      </w:pPr>
      <w:r>
        <w:rPr>
          <w:b/>
          <w:color w:val="005A9E"/>
          <w:sz w:val="21"/>
        </w:rPr>
        <w:t>Phase 5: Ticket Closure &amp; Read-Only Lock (State = Closed)</w:t>
      </w:r>
    </w:p>
    <w:p>
      <w:pPr>
        <w:spacing w:after="120" w:line="276" w:lineRule="auto"/>
        <w:ind w:left="288"/>
      </w:pPr>
      <w:r>
        <w:rPr>
          <w:sz w:val="19"/>
        </w:rPr>
        <w:t>Once State reaches 'Closed', a UI Policy sets all core fields to Read-Only, locking the record against unauthorized edits.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