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PC CRM &amp; LEAD CLASSIFICATION SYSTEM (LCS)</w:t>
      </w:r>
    </w:p>
    <w:p>
      <w:pPr>
        <w:spacing w:before="0" w:after="280"/>
      </w:pPr>
      <w:r>
        <w:rPr>
          <w:rFonts w:ascii="Calibri" w:hAnsi="Calibri"/>
          <w:color w:val="0284C7"/>
          <w:sz w:val="24"/>
        </w:rPr>
        <w:t>Executive Architecture Overview: In-House Sales Platform, Middleware Intelligence &amp; Enterprise Analytics</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F7FAFC"/>
            <w:tcMar>
              <w:top w:w="80" w:type="dxa"/>
              <w:bottom w:w="80" w:type="dxa"/>
              <w:left w:w="120" w:type="dxa"/>
              <w:right w:w="120" w:type="dxa"/>
            </w:tcMar>
          </w:tcPr>
          <w:p>
            <w:pPr>
              <w:spacing w:after="0"/>
            </w:pPr>
            <w:r>
              <w:rPr>
                <w:b/>
                <w:color w:val="1B365D"/>
                <w:sz w:val="19"/>
              </w:rPr>
              <w:t xml:space="preserve">Platform: </w:t>
            </w:r>
            <w:r>
              <w:rPr>
                <w:color w:val="718096"/>
                <w:sz w:val="19"/>
              </w:rPr>
              <w:t>PC CRM (Proprietary In-House)</w:t>
            </w:r>
          </w:p>
        </w:tc>
        <w:tc>
          <w:tcPr>
            <w:tcW w:type="dxa" w:w="2880"/>
            <w:shd w:fill="F7FAFC"/>
            <w:tcMar>
              <w:top w:w="80" w:type="dxa"/>
              <w:bottom w:w="80" w:type="dxa"/>
              <w:left w:w="120" w:type="dxa"/>
              <w:right w:w="120" w:type="dxa"/>
            </w:tcMar>
          </w:tcPr>
          <w:p>
            <w:pPr>
              <w:spacing w:after="0"/>
            </w:pPr>
            <w:r>
              <w:rPr>
                <w:b/>
                <w:color w:val="1B365D"/>
                <w:sz w:val="19"/>
              </w:rPr>
              <w:t xml:space="preserve">Architecture: </w:t>
            </w:r>
            <w:r>
              <w:rPr>
                <w:color w:val="718096"/>
                <w:sz w:val="19"/>
              </w:rPr>
              <w:t>LCS Middleware &amp; SLA Engine</w:t>
            </w:r>
          </w:p>
        </w:tc>
        <w:tc>
          <w:tcPr>
            <w:tcW w:type="dxa" w:w="2880"/>
            <w:shd w:fill="F7FAFC"/>
            <w:tcMar>
              <w:top w:w="80" w:type="dxa"/>
              <w:bottom w:w="80" w:type="dxa"/>
              <w:left w:w="120" w:type="dxa"/>
              <w:right w:w="120" w:type="dxa"/>
            </w:tcMar>
          </w:tcPr>
          <w:p>
            <w:pPr>
              <w:spacing w:after="0"/>
            </w:pPr>
            <w:r>
              <w:rPr>
                <w:b/>
                <w:color w:val="1B365D"/>
                <w:sz w:val="19"/>
              </w:rPr>
              <w:t xml:space="preserve">Target Integration: </w:t>
            </w:r>
            <w:r>
              <w:rPr>
                <w:color w:val="718096"/>
                <w:sz w:val="19"/>
              </w:rPr>
              <w:t>Organizational BI Dashboard</w:t>
            </w:r>
          </w:p>
        </w:tc>
      </w:tr>
    </w:tbl>
    <w:p>
      <w:pPr>
        <w:spacing w:before="200" w:after="280"/>
      </w:pPr>
      <w:r>
        <w:rPr>
          <w:color w:val="CBD5E1"/>
        </w:rPr>
        <w:t>――――――――――――――――――――――――――――――――――――――――――――――――――――――――――</w:t>
      </w:r>
    </w:p>
    <w:p>
      <w:pPr>
        <w:keepNext/>
        <w:spacing w:before="360" w:after="120"/>
      </w:pPr>
      <w:r>
        <w:rPr>
          <w:b/>
          <w:color w:val="0284C7"/>
          <w:sz w:val="30"/>
        </w:rPr>
        <w:t xml:space="preserve">1. </w:t>
      </w:r>
      <w:r>
        <w:rPr>
          <w:b/>
          <w:color w:val="1B365D"/>
          <w:sz w:val="30"/>
        </w:rPr>
        <w:t>Executive Summary: What is PC CRM?</w:t>
      </w:r>
    </w:p>
    <w:p>
      <w:pPr>
        <w:spacing w:after="160" w:line="276" w:lineRule="auto"/>
      </w:pPr>
      <w:r>
        <w:t>PC CRM is PACE's own proprietary, custom-built Customer Relationship Management platform. Unlike generic commercial CRM products (such as standard Salesforce, HubSpot, or off-the-shelf Frappe CRM), PC CRM has been engineered entirely around PACE Court's specialized sales lifecycle, client qualification workflows, and multi-tier sports infrastructure sales cycles.</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20" w:type="dxa"/>
              <w:right w:w="200" w:type="dxa"/>
            </w:tcMar>
            <w:tcBorders>
              <w:top w:val="none" w:sz="4" w:space="0" w:color="auto"/>
              <w:left w:val="single" w:sz="24" w:space="0" w:color="1B365D"/>
              <w:bottom w:val="none" w:sz="4" w:space="0" w:color="auto"/>
              <w:right w:val="none" w:sz="4" w:space="0" w:color="auto"/>
            </w:tcBorders>
          </w:tcPr>
          <w:p>
            <w:pPr>
              <w:spacing w:before="40" w:after="80" w:line="276" w:lineRule="auto"/>
            </w:pPr>
            <w:r>
              <w:rPr>
                <w:rFonts w:ascii="Calibri" w:hAnsi="Calibri"/>
                <w:b/>
                <w:color w:val="1B365D"/>
                <w:sz w:val="22"/>
              </w:rPr>
              <w:t>📌 In-House Intellectual Property</w:t>
              <w:br/>
            </w:r>
            <w:r>
              <w:rPr>
                <w:rFonts w:ascii="Calibri" w:hAnsi="Calibri"/>
                <w:i/>
                <w:color w:val="2D3748"/>
                <w:sz w:val="21"/>
              </w:rPr>
              <w:t>Key Strategic Principle: PC CRM is an independent in-house software asset. We have eliminated all third-party branding, external promotional links, and generic onboarding tutorials. Every data model, pipeline stage, automation hook, and user interface element belongs 100% to PACE.</w:t>
            </w:r>
          </w:p>
        </w:tc>
      </w:tr>
    </w:tbl>
    <w:p>
      <w:pPr>
        <w:spacing w:after="120"/>
      </w:pPr>
    </w:p>
    <w:p>
      <w:pPr>
        <w:spacing w:after="160" w:line="276" w:lineRule="auto"/>
      </w:pPr>
      <w:r>
        <w:t>Modern sports court construction, turnkey infrastructure, and premium sports surfacing projects require high-touch, fast-response consultative sales. Traditional sales pipelines fail when high-value enterprise leads are treated the same as casual retail queries. PC CRM solves this through unified lead intelligence, automated task routing, and strict response enforcement.</w:t>
      </w:r>
    </w:p>
    <w:p>
      <w:pPr>
        <w:pStyle w:val="ListBullet"/>
        <w:spacing w:after="80" w:line="276" w:lineRule="auto"/>
      </w:pPr>
      <w:r>
        <w:rPr>
          <w:b/>
          <w:color w:val="1B365D"/>
        </w:rPr>
        <w:t xml:space="preserve">Proprietary System Ownership: </w:t>
      </w:r>
      <w:r>
        <w:t>Full control over backend logic, security, access roles, and zero per-user licensing fees.</w:t>
      </w:r>
    </w:p>
    <w:p>
      <w:pPr>
        <w:pStyle w:val="ListBullet"/>
        <w:spacing w:after="80" w:line="276" w:lineRule="auto"/>
      </w:pPr>
      <w:r>
        <w:rPr>
          <w:b/>
          <w:color w:val="1B365D"/>
        </w:rPr>
        <w:t xml:space="preserve">Tailored Pipeline Stages: </w:t>
      </w:r>
      <w:r>
        <w:t>Custom workflows built specifically for inquiries, site evaluations, estimates, quotes, and handoffs.</w:t>
      </w:r>
    </w:p>
    <w:p>
      <w:pPr>
        <w:pStyle w:val="ListBullet"/>
        <w:spacing w:after="80" w:line="276" w:lineRule="auto"/>
      </w:pPr>
      <w:r>
        <w:rPr>
          <w:b/>
          <w:color w:val="1B365D"/>
        </w:rPr>
        <w:t xml:space="preserve">Integrated Communication Hub: </w:t>
      </w:r>
      <w:r>
        <w:t>Unified records for telephone call logs, email threads, notes, reminders, and activity timelines.</w:t>
      </w:r>
    </w:p>
    <w:p>
      <w:pPr>
        <w:pStyle w:val="ListBullet"/>
        <w:spacing w:after="80" w:line="276" w:lineRule="auto"/>
      </w:pPr>
      <w:r>
        <w:rPr>
          <w:b/>
          <w:color w:val="1B365D"/>
        </w:rPr>
        <w:t xml:space="preserve">Elimination of Third-Party Dependencies: </w:t>
      </w:r>
      <w:r>
        <w:t>Completely de-branded and optimized for private enterprise deployment on our dedicated Azure cloud infrastructure.</w:t>
      </w:r>
    </w:p>
    <w:p>
      <w:pPr>
        <w:keepNext/>
        <w:spacing w:before="360" w:after="120"/>
      </w:pPr>
      <w:r>
        <w:rPr>
          <w:b/>
          <w:color w:val="0284C7"/>
          <w:sz w:val="30"/>
        </w:rPr>
        <w:t xml:space="preserve">2. </w:t>
      </w:r>
      <w:r>
        <w:rPr>
          <w:b/>
          <w:color w:val="1B365D"/>
          <w:sz w:val="30"/>
        </w:rPr>
        <w:t>The Lead Classification System (LCS) as Middleware</w:t>
      </w:r>
    </w:p>
    <w:p>
      <w:pPr>
        <w:spacing w:after="160" w:line="276" w:lineRule="auto"/>
      </w:pPr>
      <w:r>
        <w:t>At the heart of PC CRM lies the Lead Classification System (LCS). Rather than acting simply as a static database column, LCS functions as an intelligent middleware layer that sits squarely between incoming raw prospect inquiries and our frontline sales team.</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20" w:type="dxa"/>
              <w:right w:w="200" w:type="dxa"/>
            </w:tcMar>
            <w:tcBorders>
              <w:top w:val="none" w:sz="4" w:space="0" w:color="auto"/>
              <w:left w:val="single" w:sz="24" w:space="0" w:color="1B365D"/>
              <w:bottom w:val="none" w:sz="4" w:space="0" w:color="auto"/>
              <w:right w:val="none" w:sz="4" w:space="0" w:color="auto"/>
            </w:tcBorders>
          </w:tcPr>
          <w:p>
            <w:pPr>
              <w:spacing w:before="40" w:after="80" w:line="276" w:lineRule="auto"/>
            </w:pPr>
            <w:r>
              <w:rPr>
                <w:rFonts w:ascii="Calibri" w:hAnsi="Calibri"/>
                <w:b/>
                <w:color w:val="1B365D"/>
                <w:sz w:val="22"/>
              </w:rPr>
              <w:t>📌 Understanding LCS as Middleware</w:t>
              <w:br/>
            </w:r>
            <w:r>
              <w:rPr>
                <w:rFonts w:ascii="Calibri" w:hAnsi="Calibri"/>
                <w:i/>
                <w:color w:val="2D3748"/>
                <w:sz w:val="21"/>
              </w:rPr>
              <w:t>What is a Middleware in this context? Think of LCS as an automated 'Digital Sorting Concierge'. Before any salesperson touches a lead, LCS intercepts the inquiry, evaluates who the buyer is (Fit) and how urgent their project is (Intent), assigns them an objective tier, and programs their exact response deadline.</w:t>
            </w:r>
          </w:p>
        </w:tc>
      </w:tr>
    </w:tbl>
    <w:p>
      <w:pPr>
        <w:spacing w:after="120"/>
      </w:pPr>
    </w:p>
    <w:p>
      <w:pPr>
        <w:spacing w:after="120" w:line="276" w:lineRule="auto"/>
      </w:pPr>
      <w:r>
        <w:t>LCS evaluates two distinct objective dimensions:</w:t>
      </w:r>
    </w:p>
    <w:p>
      <w:pPr>
        <w:pStyle w:val="ListBullet"/>
        <w:spacing w:after="80" w:line="276" w:lineRule="auto"/>
      </w:pPr>
      <w:r>
        <w:rPr>
          <w:b/>
          <w:color w:val="1B365D"/>
        </w:rPr>
        <w:t xml:space="preserve">Dimension 1: Fit Score (0–50 Points): </w:t>
      </w:r>
      <w:r>
        <w:t>Measures organizational compatibility. Evaluates project scope, budget scale, commercial vs. residential nature, institution type (school, sports club, real estate developer, private estate), and court specifications.</w:t>
      </w:r>
    </w:p>
    <w:p>
      <w:pPr>
        <w:pStyle w:val="ListBullet"/>
        <w:spacing w:after="80" w:line="276" w:lineRule="auto"/>
      </w:pPr>
      <w:r>
        <w:rPr>
          <w:b/>
          <w:color w:val="1B365D"/>
        </w:rPr>
        <w:t xml:space="preserve">Dimension 2: Intent Score (0–50 Points): </w:t>
      </w:r>
      <w:r>
        <w:t>Measures buying urgency and readiness. Evaluates project start date, readiness for civil work, decision-maker authority, responsiveness, and buying timeline.</w:t>
      </w:r>
    </w:p>
    <w:p>
      <w:pPr>
        <w:spacing w:before="200" w:after="80"/>
      </w:pPr>
      <w:r>
        <w:rPr>
          <w:b/>
          <w:color w:val="1B365D"/>
          <w:sz w:val="20"/>
        </w:rPr>
        <w:t>Table 1: LCS Classification Matrix &amp; Automatic Service Level Agreements (SLAs)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B365D"/>
            <w:tcMar>
              <w:top w:w="120" w:type="dxa"/>
              <w:bottom w:w="120" w:type="dxa"/>
              <w:left w:w="140" w:type="dxa"/>
              <w:right w:w="140" w:type="dxa"/>
            </w:tcMar>
          </w:tcPr>
          <w:p>
            <w:pPr>
              <w:jc w:val="center"/>
            </w:pPr>
            <w:r>
              <w:rPr>
                <w:b/>
                <w:color w:val="FFFFFF"/>
                <w:sz w:val="19"/>
              </w:rPr>
              <w:t>Tier</w:t>
            </w:r>
          </w:p>
        </w:tc>
        <w:tc>
          <w:tcPr>
            <w:tcW w:type="dxa" w:w="1584"/>
            <w:shd w:fill="1B365D"/>
            <w:tcMar>
              <w:top w:w="120" w:type="dxa"/>
              <w:bottom w:w="120" w:type="dxa"/>
              <w:left w:w="140" w:type="dxa"/>
              <w:right w:w="140" w:type="dxa"/>
            </w:tcMar>
          </w:tcPr>
          <w:p>
            <w:pPr>
              <w:jc w:val="left"/>
            </w:pPr>
            <w:r>
              <w:rPr>
                <w:b/>
                <w:color w:val="FFFFFF"/>
                <w:sz w:val="19"/>
              </w:rPr>
              <w:t>Fit Rating</w:t>
            </w:r>
          </w:p>
        </w:tc>
        <w:tc>
          <w:tcPr>
            <w:tcW w:type="dxa" w:w="1584"/>
            <w:shd w:fill="1B365D"/>
            <w:tcMar>
              <w:top w:w="120" w:type="dxa"/>
              <w:bottom w:w="120" w:type="dxa"/>
              <w:left w:w="140" w:type="dxa"/>
              <w:right w:w="140" w:type="dxa"/>
            </w:tcMar>
          </w:tcPr>
          <w:p>
            <w:pPr>
              <w:jc w:val="left"/>
            </w:pPr>
            <w:r>
              <w:rPr>
                <w:b/>
                <w:color w:val="FFFFFF"/>
                <w:sz w:val="19"/>
              </w:rPr>
              <w:t>Intent Rating</w:t>
            </w:r>
          </w:p>
        </w:tc>
        <w:tc>
          <w:tcPr>
            <w:tcW w:type="dxa" w:w="1584"/>
            <w:shd w:fill="1B365D"/>
            <w:tcMar>
              <w:top w:w="120" w:type="dxa"/>
              <w:bottom w:w="120" w:type="dxa"/>
              <w:left w:w="140" w:type="dxa"/>
              <w:right w:w="140" w:type="dxa"/>
            </w:tcMar>
          </w:tcPr>
          <w:p>
            <w:pPr>
              <w:jc w:val="center"/>
            </w:pPr>
            <w:r>
              <w:rPr>
                <w:b/>
                <w:color w:val="FFFFFF"/>
                <w:sz w:val="19"/>
              </w:rPr>
              <w:t>SLA Target</w:t>
            </w:r>
          </w:p>
        </w:tc>
        <w:tc>
          <w:tcPr>
            <w:tcW w:type="dxa" w:w="3168"/>
            <w:shd w:fill="1B365D"/>
            <w:tcMar>
              <w:top w:w="120" w:type="dxa"/>
              <w:bottom w:w="120" w:type="dxa"/>
              <w:left w:w="140" w:type="dxa"/>
              <w:right w:w="140" w:type="dxa"/>
            </w:tcMar>
          </w:tcPr>
          <w:p>
            <w:pPr>
              <w:jc w:val="left"/>
            </w:pPr>
            <w:r>
              <w:rPr>
                <w:b/>
                <w:color w:val="FFFFFF"/>
                <w:sz w:val="19"/>
              </w:rPr>
              <w:t>Strategic Action &amp; Business Priority</w:t>
            </w:r>
          </w:p>
        </w:tc>
      </w:tr>
      <w:tr>
        <w:tc>
          <w:tcPr>
            <w:tcW w:type="dxa" w:w="1440"/>
            <w:shd w:fill="F7FAFC"/>
            <w:tcMar>
              <w:top w:w="100" w:type="dxa"/>
              <w:bottom w:w="100" w:type="dxa"/>
              <w:left w:w="140" w:type="dxa"/>
              <w:right w:w="140" w:type="dxa"/>
            </w:tcMar>
          </w:tcPr>
          <w:p>
            <w:pPr>
              <w:jc w:val="center"/>
            </w:pPr>
            <w:r>
              <w:rPr>
                <w:b/>
                <w:color w:val="1B365D"/>
                <w:sz w:val="18"/>
              </w:rPr>
              <w:t>A1</w:t>
            </w:r>
          </w:p>
        </w:tc>
        <w:tc>
          <w:tcPr>
            <w:tcW w:type="dxa" w:w="1584"/>
            <w:shd w:fill="F7FAFC"/>
            <w:tcMar>
              <w:top w:w="100" w:type="dxa"/>
              <w:bottom w:w="100" w:type="dxa"/>
              <w:left w:w="140" w:type="dxa"/>
              <w:right w:w="140" w:type="dxa"/>
            </w:tcMar>
          </w:tcPr>
          <w:p>
            <w:pPr>
              <w:jc w:val="left"/>
            </w:pPr>
            <w:r>
              <w:rPr>
                <w:sz w:val="18"/>
              </w:rPr>
              <w:t>High (≥35)</w:t>
            </w:r>
          </w:p>
        </w:tc>
        <w:tc>
          <w:tcPr>
            <w:tcW w:type="dxa" w:w="1584"/>
            <w:shd w:fill="F7FAFC"/>
            <w:tcMar>
              <w:top w:w="100" w:type="dxa"/>
              <w:bottom w:w="100" w:type="dxa"/>
              <w:left w:w="140" w:type="dxa"/>
              <w:right w:w="140" w:type="dxa"/>
            </w:tcMar>
          </w:tcPr>
          <w:p>
            <w:pPr>
              <w:jc w:val="left"/>
            </w:pPr>
            <w:r>
              <w:rPr>
                <w:sz w:val="18"/>
              </w:rPr>
              <w:t>High (≥35)</w:t>
            </w:r>
          </w:p>
        </w:tc>
        <w:tc>
          <w:tcPr>
            <w:tcW w:type="dxa" w:w="1584"/>
            <w:shd w:fill="F7FAFC"/>
            <w:tcMar>
              <w:top w:w="100" w:type="dxa"/>
              <w:bottom w:w="100" w:type="dxa"/>
              <w:left w:w="140" w:type="dxa"/>
              <w:right w:w="140" w:type="dxa"/>
            </w:tcMar>
          </w:tcPr>
          <w:p>
            <w:pPr>
              <w:jc w:val="center"/>
            </w:pPr>
            <w:r>
              <w:rPr>
                <w:b/>
                <w:color w:val="C53030"/>
                <w:sz w:val="18"/>
              </w:rPr>
              <w:t>4 Hours</w:t>
            </w:r>
          </w:p>
        </w:tc>
        <w:tc>
          <w:tcPr>
            <w:tcW w:type="dxa" w:w="3168"/>
            <w:shd w:fill="F7FAFC"/>
            <w:tcMar>
              <w:top w:w="100" w:type="dxa"/>
              <w:bottom w:w="100" w:type="dxa"/>
              <w:left w:w="140" w:type="dxa"/>
              <w:right w:w="140" w:type="dxa"/>
            </w:tcMar>
          </w:tcPr>
          <w:p>
            <w:pPr>
              <w:jc w:val="left"/>
            </w:pPr>
            <w:r>
              <w:rPr>
                <w:sz w:val="18"/>
              </w:rPr>
              <w:t>Crown Jewel Enterprise. Immediate direct call by Senior Specialist; bespoke pitch.</w:t>
            </w:r>
          </w:p>
        </w:tc>
      </w:tr>
      <w:tr>
        <w:tc>
          <w:tcPr>
            <w:tcW w:type="dxa" w:w="1440"/>
            <w:shd w:fill="FFFFFF"/>
            <w:tcMar>
              <w:top w:w="100" w:type="dxa"/>
              <w:bottom w:w="100" w:type="dxa"/>
              <w:left w:w="140" w:type="dxa"/>
              <w:right w:w="140" w:type="dxa"/>
            </w:tcMar>
          </w:tcPr>
          <w:p>
            <w:pPr>
              <w:jc w:val="center"/>
            </w:pPr>
            <w:r>
              <w:rPr>
                <w:b/>
                <w:color w:val="1B365D"/>
                <w:sz w:val="18"/>
              </w:rPr>
              <w:t>A2</w:t>
            </w:r>
          </w:p>
        </w:tc>
        <w:tc>
          <w:tcPr>
            <w:tcW w:type="dxa" w:w="1584"/>
            <w:shd w:fill="FFFFFF"/>
            <w:tcMar>
              <w:top w:w="100" w:type="dxa"/>
              <w:bottom w:w="100" w:type="dxa"/>
              <w:left w:w="140" w:type="dxa"/>
              <w:right w:w="140" w:type="dxa"/>
            </w:tcMar>
          </w:tcPr>
          <w:p>
            <w:pPr>
              <w:jc w:val="left"/>
            </w:pPr>
            <w:r>
              <w:rPr>
                <w:sz w:val="18"/>
              </w:rPr>
              <w:t>High (≥35)</w:t>
            </w:r>
          </w:p>
        </w:tc>
        <w:tc>
          <w:tcPr>
            <w:tcW w:type="dxa" w:w="1584"/>
            <w:shd w:fill="FFFFFF"/>
            <w:tcMar>
              <w:top w:w="100" w:type="dxa"/>
              <w:bottom w:w="100" w:type="dxa"/>
              <w:left w:w="140" w:type="dxa"/>
              <w:right w:w="140" w:type="dxa"/>
            </w:tcMar>
          </w:tcPr>
          <w:p>
            <w:pPr>
              <w:jc w:val="left"/>
            </w:pPr>
            <w:r>
              <w:rPr>
                <w:sz w:val="18"/>
              </w:rPr>
              <w:t>Medium (20-34)</w:t>
            </w:r>
          </w:p>
        </w:tc>
        <w:tc>
          <w:tcPr>
            <w:tcW w:type="dxa" w:w="1584"/>
            <w:shd w:fill="FFFFFF"/>
            <w:tcMar>
              <w:top w:w="100" w:type="dxa"/>
              <w:bottom w:w="100" w:type="dxa"/>
              <w:left w:w="140" w:type="dxa"/>
              <w:right w:w="140" w:type="dxa"/>
            </w:tcMar>
          </w:tcPr>
          <w:p>
            <w:pPr>
              <w:jc w:val="center"/>
            </w:pPr>
            <w:r>
              <w:rPr>
                <w:b/>
                <w:color w:val="C53030"/>
                <w:sz w:val="18"/>
              </w:rPr>
              <w:t>24 Hours</w:t>
            </w:r>
          </w:p>
        </w:tc>
        <w:tc>
          <w:tcPr>
            <w:tcW w:type="dxa" w:w="3168"/>
            <w:shd w:fill="FFFFFF"/>
            <w:tcMar>
              <w:top w:w="100" w:type="dxa"/>
              <w:bottom w:w="100" w:type="dxa"/>
              <w:left w:w="140" w:type="dxa"/>
              <w:right w:w="140" w:type="dxa"/>
            </w:tcMar>
          </w:tcPr>
          <w:p>
            <w:pPr>
              <w:jc w:val="left"/>
            </w:pPr>
            <w:r>
              <w:rPr>
                <w:sz w:val="18"/>
              </w:rPr>
              <w:t>High-value long-cycle project. Requires consultative education and technical specs.</w:t>
            </w:r>
          </w:p>
        </w:tc>
      </w:tr>
      <w:tr>
        <w:tc>
          <w:tcPr>
            <w:tcW w:type="dxa" w:w="1440"/>
            <w:shd w:fill="F7FAFC"/>
            <w:tcMar>
              <w:top w:w="100" w:type="dxa"/>
              <w:bottom w:w="100" w:type="dxa"/>
              <w:left w:w="140" w:type="dxa"/>
              <w:right w:w="140" w:type="dxa"/>
            </w:tcMar>
          </w:tcPr>
          <w:p>
            <w:pPr>
              <w:jc w:val="center"/>
            </w:pPr>
            <w:r>
              <w:rPr>
                <w:b/>
                <w:color w:val="1B365D"/>
                <w:sz w:val="18"/>
              </w:rPr>
              <w:t>B1</w:t>
            </w:r>
          </w:p>
        </w:tc>
        <w:tc>
          <w:tcPr>
            <w:tcW w:type="dxa" w:w="1584"/>
            <w:shd w:fill="F7FAFC"/>
            <w:tcMar>
              <w:top w:w="100" w:type="dxa"/>
              <w:bottom w:w="100" w:type="dxa"/>
              <w:left w:w="140" w:type="dxa"/>
              <w:right w:w="140" w:type="dxa"/>
            </w:tcMar>
          </w:tcPr>
          <w:p>
            <w:pPr>
              <w:jc w:val="left"/>
            </w:pPr>
            <w:r>
              <w:rPr>
                <w:sz w:val="18"/>
              </w:rPr>
              <w:t>Medium (25-34)</w:t>
            </w:r>
          </w:p>
        </w:tc>
        <w:tc>
          <w:tcPr>
            <w:tcW w:type="dxa" w:w="1584"/>
            <w:shd w:fill="F7FAFC"/>
            <w:tcMar>
              <w:top w:w="100" w:type="dxa"/>
              <w:bottom w:w="100" w:type="dxa"/>
              <w:left w:w="140" w:type="dxa"/>
              <w:right w:w="140" w:type="dxa"/>
            </w:tcMar>
          </w:tcPr>
          <w:p>
            <w:pPr>
              <w:jc w:val="left"/>
            </w:pPr>
            <w:r>
              <w:rPr>
                <w:sz w:val="18"/>
              </w:rPr>
              <w:t>High (≥35)</w:t>
            </w:r>
          </w:p>
        </w:tc>
        <w:tc>
          <w:tcPr>
            <w:tcW w:type="dxa" w:w="1584"/>
            <w:shd w:fill="F7FAFC"/>
            <w:tcMar>
              <w:top w:w="100" w:type="dxa"/>
              <w:bottom w:w="100" w:type="dxa"/>
              <w:left w:w="140" w:type="dxa"/>
              <w:right w:w="140" w:type="dxa"/>
            </w:tcMar>
          </w:tcPr>
          <w:p>
            <w:pPr>
              <w:jc w:val="center"/>
            </w:pPr>
            <w:r>
              <w:rPr>
                <w:b/>
                <w:color w:val="C53030"/>
                <w:sz w:val="18"/>
              </w:rPr>
              <w:t>24 Hours</w:t>
            </w:r>
          </w:p>
        </w:tc>
        <w:tc>
          <w:tcPr>
            <w:tcW w:type="dxa" w:w="3168"/>
            <w:shd w:fill="F7FAFC"/>
            <w:tcMar>
              <w:top w:w="100" w:type="dxa"/>
              <w:bottom w:w="100" w:type="dxa"/>
              <w:left w:w="140" w:type="dxa"/>
              <w:right w:w="140" w:type="dxa"/>
            </w:tcMar>
          </w:tcPr>
          <w:p>
            <w:pPr>
              <w:jc w:val="left"/>
            </w:pPr>
            <w:r>
              <w:rPr>
                <w:sz w:val="18"/>
              </w:rPr>
              <w:t>Immediate buyer needing standard fast turnaround court installation.</w:t>
            </w:r>
          </w:p>
        </w:tc>
      </w:tr>
      <w:tr>
        <w:tc>
          <w:tcPr>
            <w:tcW w:type="dxa" w:w="1440"/>
            <w:shd w:fill="FFFFFF"/>
            <w:tcMar>
              <w:top w:w="100" w:type="dxa"/>
              <w:bottom w:w="100" w:type="dxa"/>
              <w:left w:w="140" w:type="dxa"/>
              <w:right w:w="140" w:type="dxa"/>
            </w:tcMar>
          </w:tcPr>
          <w:p>
            <w:pPr>
              <w:jc w:val="center"/>
            </w:pPr>
            <w:r>
              <w:rPr>
                <w:b/>
                <w:color w:val="1B365D"/>
                <w:sz w:val="18"/>
              </w:rPr>
              <w:t>B2</w:t>
            </w:r>
          </w:p>
        </w:tc>
        <w:tc>
          <w:tcPr>
            <w:tcW w:type="dxa" w:w="1584"/>
            <w:shd w:fill="FFFFFF"/>
            <w:tcMar>
              <w:top w:w="100" w:type="dxa"/>
              <w:bottom w:w="100" w:type="dxa"/>
              <w:left w:w="140" w:type="dxa"/>
              <w:right w:w="140" w:type="dxa"/>
            </w:tcMar>
          </w:tcPr>
          <w:p>
            <w:pPr>
              <w:jc w:val="left"/>
            </w:pPr>
            <w:r>
              <w:rPr>
                <w:sz w:val="18"/>
              </w:rPr>
              <w:t>Medium (25-34)</w:t>
            </w:r>
          </w:p>
        </w:tc>
        <w:tc>
          <w:tcPr>
            <w:tcW w:type="dxa" w:w="1584"/>
            <w:shd w:fill="FFFFFF"/>
            <w:tcMar>
              <w:top w:w="100" w:type="dxa"/>
              <w:bottom w:w="100" w:type="dxa"/>
              <w:left w:w="140" w:type="dxa"/>
              <w:right w:w="140" w:type="dxa"/>
            </w:tcMar>
          </w:tcPr>
          <w:p>
            <w:pPr>
              <w:jc w:val="left"/>
            </w:pPr>
            <w:r>
              <w:rPr>
                <w:sz w:val="18"/>
              </w:rPr>
              <w:t>Medium (20-34)</w:t>
            </w:r>
          </w:p>
        </w:tc>
        <w:tc>
          <w:tcPr>
            <w:tcW w:type="dxa" w:w="1584"/>
            <w:shd w:fill="FFFFFF"/>
            <w:tcMar>
              <w:top w:w="100" w:type="dxa"/>
              <w:bottom w:w="100" w:type="dxa"/>
              <w:left w:w="140" w:type="dxa"/>
              <w:right w:w="140" w:type="dxa"/>
            </w:tcMar>
          </w:tcPr>
          <w:p>
            <w:pPr>
              <w:jc w:val="center"/>
            </w:pPr>
            <w:r>
              <w:rPr>
                <w:b/>
                <w:color w:val="C53030"/>
                <w:sz w:val="18"/>
              </w:rPr>
              <w:t>48 Hours</w:t>
            </w:r>
          </w:p>
        </w:tc>
        <w:tc>
          <w:tcPr>
            <w:tcW w:type="dxa" w:w="3168"/>
            <w:shd w:fill="FFFFFF"/>
            <w:tcMar>
              <w:top w:w="100" w:type="dxa"/>
              <w:bottom w:w="100" w:type="dxa"/>
              <w:left w:w="140" w:type="dxa"/>
              <w:right w:w="140" w:type="dxa"/>
            </w:tcMar>
          </w:tcPr>
          <w:p>
            <w:pPr>
              <w:jc w:val="left"/>
            </w:pPr>
            <w:r>
              <w:rPr>
                <w:sz w:val="18"/>
              </w:rPr>
              <w:t>Standard lead. Nurture with case studies, standard pricing catalogs.</w:t>
            </w:r>
          </w:p>
        </w:tc>
      </w:tr>
      <w:tr>
        <w:tc>
          <w:tcPr>
            <w:tcW w:type="dxa" w:w="1440"/>
            <w:shd w:fill="F7FAFC"/>
            <w:tcMar>
              <w:top w:w="100" w:type="dxa"/>
              <w:bottom w:w="100" w:type="dxa"/>
              <w:left w:w="140" w:type="dxa"/>
              <w:right w:w="140" w:type="dxa"/>
            </w:tcMar>
          </w:tcPr>
          <w:p>
            <w:pPr>
              <w:jc w:val="center"/>
            </w:pPr>
            <w:r>
              <w:rPr>
                <w:b/>
                <w:color w:val="1B365D"/>
                <w:sz w:val="18"/>
              </w:rPr>
              <w:t>C1</w:t>
            </w:r>
          </w:p>
        </w:tc>
        <w:tc>
          <w:tcPr>
            <w:tcW w:type="dxa" w:w="1584"/>
            <w:shd w:fill="F7FAFC"/>
            <w:tcMar>
              <w:top w:w="100" w:type="dxa"/>
              <w:bottom w:w="100" w:type="dxa"/>
              <w:left w:w="140" w:type="dxa"/>
              <w:right w:w="140" w:type="dxa"/>
            </w:tcMar>
          </w:tcPr>
          <w:p>
            <w:pPr>
              <w:jc w:val="left"/>
            </w:pPr>
            <w:r>
              <w:rPr>
                <w:sz w:val="18"/>
              </w:rPr>
              <w:t>Entry (&lt;25)</w:t>
            </w:r>
          </w:p>
        </w:tc>
        <w:tc>
          <w:tcPr>
            <w:tcW w:type="dxa" w:w="1584"/>
            <w:shd w:fill="F7FAFC"/>
            <w:tcMar>
              <w:top w:w="100" w:type="dxa"/>
              <w:bottom w:w="100" w:type="dxa"/>
              <w:left w:w="140" w:type="dxa"/>
              <w:right w:w="140" w:type="dxa"/>
            </w:tcMar>
          </w:tcPr>
          <w:p>
            <w:pPr>
              <w:jc w:val="left"/>
            </w:pPr>
            <w:r>
              <w:rPr>
                <w:sz w:val="18"/>
              </w:rPr>
              <w:t>High (≥35)</w:t>
            </w:r>
          </w:p>
        </w:tc>
        <w:tc>
          <w:tcPr>
            <w:tcW w:type="dxa" w:w="1584"/>
            <w:shd w:fill="F7FAFC"/>
            <w:tcMar>
              <w:top w:w="100" w:type="dxa"/>
              <w:bottom w:w="100" w:type="dxa"/>
              <w:left w:w="140" w:type="dxa"/>
              <w:right w:w="140" w:type="dxa"/>
            </w:tcMar>
          </w:tcPr>
          <w:p>
            <w:pPr>
              <w:jc w:val="center"/>
            </w:pPr>
            <w:r>
              <w:rPr>
                <w:b/>
                <w:color w:val="C53030"/>
                <w:sz w:val="18"/>
              </w:rPr>
              <w:t>24 Hours</w:t>
            </w:r>
          </w:p>
        </w:tc>
        <w:tc>
          <w:tcPr>
            <w:tcW w:type="dxa" w:w="3168"/>
            <w:shd w:fill="F7FAFC"/>
            <w:tcMar>
              <w:top w:w="100" w:type="dxa"/>
              <w:bottom w:w="100" w:type="dxa"/>
              <w:left w:w="140" w:type="dxa"/>
              <w:right w:w="140" w:type="dxa"/>
            </w:tcMar>
          </w:tcPr>
          <w:p>
            <w:pPr>
              <w:jc w:val="left"/>
            </w:pPr>
            <w:r>
              <w:rPr>
                <w:sz w:val="18"/>
              </w:rPr>
              <w:t>Small scope inquiry but high readiness to purchase immediately.</w:t>
            </w:r>
          </w:p>
        </w:tc>
      </w:tr>
    </w:tbl>
    <w:p>
      <w:pPr>
        <w:keepNext/>
        <w:spacing w:before="360" w:after="120"/>
      </w:pPr>
      <w:r>
        <w:rPr>
          <w:b/>
          <w:color w:val="0284C7"/>
          <w:sz w:val="30"/>
        </w:rPr>
        <w:t xml:space="preserve">3. </w:t>
      </w:r>
      <w:r>
        <w:rPr>
          <w:b/>
          <w:color w:val="1B365D"/>
          <w:sz w:val="30"/>
        </w:rPr>
        <w:t>The Operational Lifecycle: Step-by-Step Lead Journey</w:t>
      </w:r>
    </w:p>
    <w:p>
      <w:pPr>
        <w:spacing w:after="160" w:line="276" w:lineRule="auto"/>
      </w:pPr>
      <w:r>
        <w:t>The power of PC CRM is how seamlessly each stage connects into the next without human friction or manual data entry. The following sequential flow illustrates how a prospect moves through the system:</w:t>
      </w:r>
    </w:p>
    <w:p>
      <w:pPr>
        <w:keepNext/>
        <w:spacing w:before="240" w:after="80"/>
      </w:pPr>
      <w:r>
        <w:rPr>
          <w:b/>
          <w:color w:val="0284C7"/>
          <w:sz w:val="25"/>
        </w:rPr>
        <w:t>Step 1: Ingress &amp; Normalization</w:t>
      </w:r>
    </w:p>
    <w:p>
      <w:pPr>
        <w:spacing w:before="40" w:after="120" w:line="276" w:lineRule="auto"/>
      </w:pPr>
      <w:r>
        <w:t>The lead enters PC CRM through an automated inbound channel (Website Form, Direct Phone Call, WhatsApp Inquiry, or Campaign Landing Page). The system instantly cleans the phone number, checks for duplicates, and assigns basic metadata.</w:t>
      </w:r>
    </w:p>
    <w:p>
      <w:pPr>
        <w:keepNext/>
        <w:spacing w:before="240" w:after="80"/>
      </w:pPr>
      <w:r>
        <w:rPr>
          <w:b/>
          <w:color w:val="0284C7"/>
          <w:sz w:val="25"/>
        </w:rPr>
        <w:t>Step 2: LCS Middleware Processing &amp; Matrix Tiering</w:t>
      </w:r>
    </w:p>
    <w:p>
      <w:pPr>
        <w:spacing w:before="40" w:after="120" w:line="276" w:lineRule="auto"/>
      </w:pPr>
      <w:r>
        <w:t>LCS processes the lead data. Based on project requirements, budget, and readiness, the middleware automatically calculates the Fit Score and Intent Score. The lead is stamped with its Matrix Tier (e.g., A1, A2, B1) and marked as a Marketing Qualified Lead (MQL) where applicable.</w:t>
      </w:r>
    </w:p>
    <w:p>
      <w:pPr>
        <w:keepNext/>
        <w:spacing w:before="240" w:after="80"/>
      </w:pPr>
      <w:r>
        <w:rPr>
          <w:b/>
          <w:color w:val="0284C7"/>
          <w:sz w:val="25"/>
        </w:rPr>
        <w:t>Step 3: Intelligent Salesperson Assignment</w:t>
      </w:r>
    </w:p>
    <w:p>
      <w:pPr>
        <w:spacing w:before="40" w:after="120" w:line="276" w:lineRule="auto"/>
      </w:pPr>
      <w:r>
        <w:t>The lead is automatically assigned to a designated salesperson based on territory, expertise (e.g., turnkey tennis vs. pickleball vs. multi-sport), and current workload. The salesperson is recorded as the official 'Lead Owner'.</w:t>
      </w:r>
    </w:p>
    <w:p>
      <w:pPr>
        <w:keepNext/>
        <w:spacing w:before="240" w:after="80"/>
      </w:pPr>
      <w:r>
        <w:rPr>
          <w:b/>
          <w:color w:val="0284C7"/>
          <w:sz w:val="25"/>
        </w:rPr>
        <w:t>Step 4: Dynamic SLA Timer Activation &amp; Task Creation</w:t>
      </w:r>
    </w:p>
    <w:p>
      <w:pPr>
        <w:spacing w:before="40" w:after="120" w:line="276" w:lineRule="auto"/>
      </w:pPr>
      <w:r>
        <w:t>The moment the lead is assigned, the SLA clock begins ticking. For an A1 lead, exactly 4 hours are allocated. Simultaneously, PC CRM automatically generates a dedicated 'CRM Task' on the salesperson's workbench titled:</w:t>
        <w:br/>
        <w:t>• 'Call Lead: [Client Name] (A1 · 4h SLA)'</w:t>
        <w:br/>
        <w:t>This task contains the exact deadline timestamp, the customer's background, and the pre-selected sales playbook.</w:t>
      </w:r>
    </w:p>
    <w:p>
      <w:pPr>
        <w:keepNext/>
        <w:spacing w:before="240" w:after="80"/>
      </w:pPr>
      <w:r>
        <w:rPr>
          <w:b/>
          <w:color w:val="0284C7"/>
          <w:sz w:val="25"/>
        </w:rPr>
        <w:t>Step 5: Real-Time Notifications &amp; 1-Hour Warning Countdown</w:t>
      </w:r>
    </w:p>
    <w:p>
      <w:pPr>
        <w:spacing w:before="40" w:after="120" w:line="276" w:lineRule="auto"/>
      </w:pPr>
      <w:r>
        <w:t>PC CRM communicates proactively with the sales representative:</w:t>
        <w:br/>
        <w:t>• Instant Alert: Real-time browser WebSocket push and notification banner when the lead is assigned.</w:t>
        <w:br/>
        <w:t>• 1-Hour Proactive Warning: Exactly 60 minutes before the SLA deadline, the automated background engine detects that the lead has not yet been contacted. It triggers an urgent reminder banner directly to the salesperson indicating the exact minutes remaining.</w:t>
      </w:r>
    </w:p>
    <w:p>
      <w:pPr>
        <w:keepNext/>
        <w:spacing w:before="240" w:after="80"/>
      </w:pPr>
      <w:r>
        <w:rPr>
          <w:b/>
          <w:color w:val="0284C7"/>
          <w:sz w:val="25"/>
        </w:rPr>
        <w:t>Step 6: SLA Breach Escalation (Failure Safeguard)</w:t>
      </w:r>
    </w:p>
    <w:p>
      <w:pPr>
        <w:spacing w:before="40" w:after="120" w:line="276" w:lineRule="auto"/>
      </w:pPr>
      <w:r>
        <w:t>If the deadline passes and the salesperson has still not contacted the client, the SLA status is marked as 'Failed'. PC CRM automatically escalates an urgent breach notification to Sales Managers and System Administrators, ensuring zero lead neglect.</w:t>
      </w:r>
    </w:p>
    <w:p>
      <w:pPr>
        <w:keepNext/>
        <w:spacing w:before="240" w:after="80"/>
      </w:pPr>
      <w:r>
        <w:rPr>
          <w:b/>
          <w:color w:val="0284C7"/>
          <w:sz w:val="25"/>
        </w:rPr>
        <w:t>Step 7: Automated SLA Completion &amp; Verification</w:t>
      </w:r>
    </w:p>
    <w:p>
      <w:pPr>
        <w:spacing w:before="40" w:after="120" w:line="276" w:lineRule="auto"/>
      </w:pPr>
      <w:r>
        <w:t>The salesperson does not need to manually check off checkboxes. As soon as the representative logs a Call Log in PC CRM or updates the lead to 'Contacted' / 'Qualified', the system automatically marks the SLA as 'Fulfilled', records the exact first-response time, and marks the task 'Done'.</w:t>
      </w:r>
    </w:p>
    <w:p>
      <w:pPr>
        <w:keepNext/>
        <w:spacing w:before="360" w:after="120"/>
      </w:pPr>
      <w:r>
        <w:rPr>
          <w:b/>
          <w:color w:val="0284C7"/>
          <w:sz w:val="30"/>
        </w:rPr>
        <w:t xml:space="preserve">4. </w:t>
      </w:r>
      <w:r>
        <w:rPr>
          <w:b/>
          <w:color w:val="1B365D"/>
          <w:sz w:val="30"/>
        </w:rPr>
        <w:t>Strategic Business Impact</w:t>
      </w:r>
    </w:p>
    <w:p>
      <w:pPr>
        <w:pStyle w:val="ListBullet"/>
        <w:spacing w:after="80" w:line="276" w:lineRule="auto"/>
      </w:pPr>
      <w:r>
        <w:rPr>
          <w:b/>
          <w:color w:val="1B365D"/>
        </w:rPr>
        <w:t xml:space="preserve">Elimination of 'Speed-to-Lead' Decay: </w:t>
      </w:r>
      <w:r>
        <w:t>Industry benchmarks demonstrate that reaching out to an enterprise prospect within 1 hour increases conversion likelihood by over 700%. PC CRM ensures our highest-tier leads are contacted in hours, not days.</w:t>
      </w:r>
    </w:p>
    <w:p>
      <w:pPr>
        <w:pStyle w:val="ListBullet"/>
        <w:spacing w:after="80" w:line="276" w:lineRule="auto"/>
      </w:pPr>
      <w:r>
        <w:rPr>
          <w:b/>
          <w:color w:val="1B365D"/>
        </w:rPr>
        <w:t xml:space="preserve">Removal of Sales Cherry-Picking: </w:t>
      </w:r>
      <w:r>
        <w:t>Without LCS, salespeople naturally gravitate toward easy, informal leads while letting complex, high-value inquiries linger. LCS enforces fair, high-priority routing.</w:t>
      </w:r>
    </w:p>
    <w:p>
      <w:pPr>
        <w:pStyle w:val="ListBullet"/>
        <w:spacing w:after="80" w:line="276" w:lineRule="auto"/>
      </w:pPr>
      <w:r>
        <w:rPr>
          <w:b/>
          <w:color w:val="1B365D"/>
        </w:rPr>
        <w:t xml:space="preserve">Operational Transparency: </w:t>
      </w:r>
      <w:r>
        <w:t>Every single call attempt, timestamp, and response duration is logged immutably in the CRM database, establishing complete sales accountability.</w:t>
      </w:r>
    </w:p>
    <w:p>
      <w:pPr>
        <w:pStyle w:val="ListBullet"/>
        <w:spacing w:after="80" w:line="276" w:lineRule="auto"/>
      </w:pPr>
      <w:r>
        <w:rPr>
          <w:b/>
          <w:color w:val="1B365D"/>
        </w:rPr>
        <w:t xml:space="preserve">Tailored Client Experience: </w:t>
      </w:r>
      <w:r>
        <w:t>High-value clients receive rapid executive attention and tailored playbooks, elevating PACE Court's brand reputation in the market.</w:t>
      </w:r>
    </w:p>
    <w:p>
      <w:pPr>
        <w:keepNext/>
        <w:spacing w:before="360" w:after="120"/>
      </w:pPr>
      <w:r>
        <w:rPr>
          <w:b/>
          <w:color w:val="0284C7"/>
          <w:sz w:val="30"/>
        </w:rPr>
        <w:t xml:space="preserve">5. </w:t>
      </w:r>
      <w:r>
        <w:rPr>
          <w:b/>
          <w:color w:val="1B365D"/>
          <w:sz w:val="30"/>
        </w:rPr>
        <w:t>Future Roadmap: The Executive Organizational Dashboard</w:t>
      </w:r>
    </w:p>
    <w:p>
      <w:pPr>
        <w:spacing w:after="160" w:line="276" w:lineRule="auto"/>
      </w:pPr>
      <w:r>
        <w:t>PC CRM is not an isolated silo. It is designed to act as the primary commercial engine feeding real-time operational data into our forthcoming Executive Organizational Dashboard (Central Business Intelligence Hub).</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20" w:type="dxa"/>
              <w:right w:w="200" w:type="dxa"/>
            </w:tcMar>
            <w:tcBorders>
              <w:top w:val="none" w:sz="4" w:space="0" w:color="auto"/>
              <w:left w:val="single" w:sz="24" w:space="0" w:color="1B365D"/>
              <w:bottom w:val="none" w:sz="4" w:space="0" w:color="auto"/>
              <w:right w:val="none" w:sz="4" w:space="0" w:color="auto"/>
            </w:tcBorders>
          </w:tcPr>
          <w:p>
            <w:pPr>
              <w:spacing w:before="40" w:after="80" w:line="276" w:lineRule="auto"/>
            </w:pPr>
            <w:r>
              <w:rPr>
                <w:rFonts w:ascii="Calibri" w:hAnsi="Calibri"/>
                <w:b/>
                <w:color w:val="1B365D"/>
                <w:sz w:val="22"/>
              </w:rPr>
              <w:t>📌 Executive Visibility &amp; Data Integration</w:t>
              <w:br/>
            </w:r>
            <w:r>
              <w:rPr>
                <w:rFonts w:ascii="Calibri" w:hAnsi="Calibri"/>
                <w:i/>
                <w:color w:val="2D3748"/>
                <w:sz w:val="21"/>
              </w:rPr>
              <w:t>Vision for Organizational BI: Company leadership will have a live, bird's-eye view of PACE's operational health. The executive dashboard will pull continuous data streams directly from PC CRM, presenting high-level summaries without requiring executives to log into the daily CRM task board.</w:t>
            </w:r>
          </w:p>
        </w:tc>
      </w:tr>
    </w:tbl>
    <w:p>
      <w:pPr>
        <w:spacing w:after="120"/>
      </w:pPr>
    </w:p>
    <w:p>
      <w:pPr>
        <w:spacing w:after="120" w:line="276" w:lineRule="auto"/>
      </w:pPr>
      <w:r>
        <w:t>Key performance indicators (KPIs) that the Organizational Dashboard will pull from PC CRM include:</w:t>
      </w:r>
    </w:p>
    <w:p>
      <w:pPr>
        <w:pStyle w:val="ListBullet"/>
        <w:spacing w:after="80" w:line="276" w:lineRule="auto"/>
      </w:pPr>
      <w:r>
        <w:rPr>
          <w:b/>
          <w:color w:val="1B365D"/>
        </w:rPr>
        <w:t xml:space="preserve">Lead Velocity &amp; Matrix Distribution: </w:t>
      </w:r>
      <w:r>
        <w:t>Live breakdown of total inbound leads sorted by LCS Tiers (A1 vs A2 vs B1). Visualizes whether marketing campaigns are generating high-fit buyers or low-intent inquiries.</w:t>
      </w:r>
    </w:p>
    <w:p>
      <w:pPr>
        <w:pStyle w:val="ListBullet"/>
        <w:spacing w:after="80" w:line="276" w:lineRule="auto"/>
      </w:pPr>
      <w:r>
        <w:rPr>
          <w:b/>
          <w:color w:val="1B365D"/>
        </w:rPr>
        <w:t xml:space="preserve">Speed-to-Lead &amp; SLA Compliance Index: </w:t>
      </w:r>
      <w:r>
        <w:t>Percentage of leads contacted within the target SLA window across regional teams. Instantly highlights operational bottlenecks or rep capacity limits.</w:t>
      </w:r>
    </w:p>
    <w:p>
      <w:pPr>
        <w:pStyle w:val="ListBullet"/>
        <w:spacing w:after="80" w:line="276" w:lineRule="auto"/>
      </w:pPr>
      <w:r>
        <w:rPr>
          <w:b/>
          <w:color w:val="1B365D"/>
        </w:rPr>
        <w:t xml:space="preserve">LCS Conversion Economics: </w:t>
      </w:r>
      <w:r>
        <w:t>Win-rate and revenue generated per matrix tier. Enables leadership to calculate the exact ROI per lead tier and optimize marketing spend accordingly.</w:t>
      </w:r>
    </w:p>
    <w:p>
      <w:pPr>
        <w:pStyle w:val="ListBullet"/>
        <w:spacing w:after="80" w:line="276" w:lineRule="auto"/>
      </w:pPr>
      <w:r>
        <w:rPr>
          <w:b/>
          <w:color w:val="1B365D"/>
        </w:rPr>
        <w:t xml:space="preserve">Sales Pipeline Momentum: </w:t>
      </w:r>
      <w:r>
        <w:t>Total open contract value, average deal cycle length, and pipeline movement from Initial Contact → Site Inspection → Quotation → Won.</w:t>
      </w:r>
    </w:p>
    <w:p>
      <w:pPr>
        <w:pStyle w:val="ListBullet"/>
        <w:spacing w:after="80" w:line="276" w:lineRule="auto"/>
      </w:pPr>
      <w:r>
        <w:rPr>
          <w:b/>
          <w:color w:val="1B365D"/>
        </w:rPr>
        <w:t xml:space="preserve">Rep Efficiency &amp; Accountability Scorecards: </w:t>
      </w:r>
      <w:r>
        <w:t>Objective metrics comparing call volume, average response speed, lead completion rate, and overdue task ratios per team member.</w:t>
      </w:r>
    </w:p>
    <w:p>
      <w:pPr>
        <w:spacing w:before="200" w:after="80"/>
      </w:pPr>
      <w:r>
        <w:rPr>
          <w:b/>
          <w:color w:val="1B365D"/>
          <w:sz w:val="20"/>
        </w:rPr>
        <w:t>Table 2: Data Pipeline from PC CRM to Organizational Dashboard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40" w:type="dxa"/>
              <w:right w:w="140" w:type="dxa"/>
            </w:tcMar>
          </w:tcPr>
          <w:p>
            <w:r>
              <w:rPr>
                <w:b/>
                <w:color w:val="FFFFFF"/>
                <w:sz w:val="19"/>
              </w:rPr>
              <w:t>CRM Source Data</w:t>
            </w:r>
          </w:p>
        </w:tc>
        <w:tc>
          <w:tcPr>
            <w:tcW w:type="dxa" w:w="2592"/>
            <w:shd w:fill="1B365D"/>
            <w:tcMar>
              <w:top w:w="120" w:type="dxa"/>
              <w:bottom w:w="120" w:type="dxa"/>
              <w:left w:w="140" w:type="dxa"/>
              <w:right w:w="140" w:type="dxa"/>
            </w:tcMar>
          </w:tcPr>
          <w:p>
            <w:r>
              <w:rPr>
                <w:b/>
                <w:color w:val="FFFFFF"/>
                <w:sz w:val="19"/>
              </w:rPr>
              <w:t>Processing Method</w:t>
            </w:r>
          </w:p>
        </w:tc>
        <w:tc>
          <w:tcPr>
            <w:tcW w:type="dxa" w:w="2304"/>
            <w:shd w:fill="1B365D"/>
            <w:tcMar>
              <w:top w:w="120" w:type="dxa"/>
              <w:bottom w:w="120" w:type="dxa"/>
              <w:left w:w="140" w:type="dxa"/>
              <w:right w:w="140" w:type="dxa"/>
            </w:tcMar>
          </w:tcPr>
          <w:p>
            <w:r>
              <w:rPr>
                <w:b/>
                <w:color w:val="FFFFFF"/>
                <w:sz w:val="19"/>
              </w:rPr>
              <w:t>Sync Frequency</w:t>
            </w:r>
          </w:p>
        </w:tc>
        <w:tc>
          <w:tcPr>
            <w:tcW w:type="dxa" w:w="2304"/>
            <w:shd w:fill="1B365D"/>
            <w:tcMar>
              <w:top w:w="120" w:type="dxa"/>
              <w:bottom w:w="120" w:type="dxa"/>
              <w:left w:w="140" w:type="dxa"/>
              <w:right w:w="140" w:type="dxa"/>
            </w:tcMar>
          </w:tcPr>
          <w:p>
            <w:r>
              <w:rPr>
                <w:b/>
                <w:color w:val="FFFFFF"/>
                <w:sz w:val="19"/>
              </w:rPr>
              <w:t>Dashboard Metric / Visualization</w:t>
            </w:r>
          </w:p>
        </w:tc>
      </w:tr>
      <w:tr>
        <w:tc>
          <w:tcPr>
            <w:tcW w:type="dxa" w:w="2160"/>
            <w:shd w:fill="F7FAFC"/>
            <w:tcMar>
              <w:top w:w="100" w:type="dxa"/>
              <w:bottom w:w="100" w:type="dxa"/>
              <w:left w:w="140" w:type="dxa"/>
              <w:right w:w="140" w:type="dxa"/>
            </w:tcMar>
          </w:tcPr>
          <w:p>
            <w:r>
              <w:rPr>
                <w:b/>
                <w:color w:val="1B365D"/>
                <w:sz w:val="18"/>
              </w:rPr>
              <w:t>CRM Lead Records</w:t>
            </w:r>
          </w:p>
        </w:tc>
        <w:tc>
          <w:tcPr>
            <w:tcW w:type="dxa" w:w="2592"/>
            <w:shd w:fill="F7FAFC"/>
            <w:tcMar>
              <w:top w:w="100" w:type="dxa"/>
              <w:bottom w:w="100" w:type="dxa"/>
              <w:left w:w="140" w:type="dxa"/>
              <w:right w:w="140" w:type="dxa"/>
            </w:tcMar>
          </w:tcPr>
          <w:p>
            <w:r>
              <w:rPr>
                <w:sz w:val="18"/>
              </w:rPr>
              <w:t>LCS Tier &amp; Score aggregation</w:t>
            </w:r>
          </w:p>
        </w:tc>
        <w:tc>
          <w:tcPr>
            <w:tcW w:type="dxa" w:w="2304"/>
            <w:shd w:fill="F7FAFC"/>
            <w:tcMar>
              <w:top w:w="100" w:type="dxa"/>
              <w:bottom w:w="100" w:type="dxa"/>
              <w:left w:w="140" w:type="dxa"/>
              <w:right w:w="140" w:type="dxa"/>
            </w:tcMar>
          </w:tcPr>
          <w:p>
            <w:r>
              <w:rPr>
                <w:sz w:val="18"/>
              </w:rPr>
              <w:t>Real-Time / 5 mins</w:t>
            </w:r>
          </w:p>
        </w:tc>
        <w:tc>
          <w:tcPr>
            <w:tcW w:type="dxa" w:w="2304"/>
            <w:shd w:fill="F7FAFC"/>
            <w:tcMar>
              <w:top w:w="100" w:type="dxa"/>
              <w:bottom w:w="100" w:type="dxa"/>
              <w:left w:w="140" w:type="dxa"/>
              <w:right w:w="140" w:type="dxa"/>
            </w:tcMar>
          </w:tcPr>
          <w:p>
            <w:r>
              <w:rPr>
                <w:sz w:val="18"/>
              </w:rPr>
              <w:t>Tier Distribution &amp; Quality Heatmap</w:t>
            </w:r>
          </w:p>
        </w:tc>
      </w:tr>
      <w:tr>
        <w:tc>
          <w:tcPr>
            <w:tcW w:type="dxa" w:w="2160"/>
            <w:shd w:fill="FFFFFF"/>
            <w:tcMar>
              <w:top w:w="100" w:type="dxa"/>
              <w:bottom w:w="100" w:type="dxa"/>
              <w:left w:w="140" w:type="dxa"/>
              <w:right w:w="140" w:type="dxa"/>
            </w:tcMar>
          </w:tcPr>
          <w:p>
            <w:r>
              <w:rPr>
                <w:b/>
                <w:color w:val="1B365D"/>
                <w:sz w:val="18"/>
              </w:rPr>
              <w:t>CRM Task &amp; SLA Timers</w:t>
            </w:r>
          </w:p>
        </w:tc>
        <w:tc>
          <w:tcPr>
            <w:tcW w:type="dxa" w:w="2592"/>
            <w:shd w:fill="FFFFFF"/>
            <w:tcMar>
              <w:top w:w="100" w:type="dxa"/>
              <w:bottom w:w="100" w:type="dxa"/>
              <w:left w:w="140" w:type="dxa"/>
              <w:right w:w="140" w:type="dxa"/>
            </w:tcMar>
          </w:tcPr>
          <w:p>
            <w:r>
              <w:rPr>
                <w:sz w:val="18"/>
              </w:rPr>
              <w:t>Time-to-response &amp; Breach calculation</w:t>
            </w:r>
          </w:p>
        </w:tc>
        <w:tc>
          <w:tcPr>
            <w:tcW w:type="dxa" w:w="2304"/>
            <w:shd w:fill="FFFFFF"/>
            <w:tcMar>
              <w:top w:w="100" w:type="dxa"/>
              <w:bottom w:w="100" w:type="dxa"/>
              <w:left w:w="140" w:type="dxa"/>
              <w:right w:w="140" w:type="dxa"/>
            </w:tcMar>
          </w:tcPr>
          <w:p>
            <w:r>
              <w:rPr>
                <w:sz w:val="18"/>
              </w:rPr>
              <w:t>Hourly Aggregation</w:t>
            </w:r>
          </w:p>
        </w:tc>
        <w:tc>
          <w:tcPr>
            <w:tcW w:type="dxa" w:w="2304"/>
            <w:shd w:fill="FFFFFF"/>
            <w:tcMar>
              <w:top w:w="100" w:type="dxa"/>
              <w:bottom w:w="100" w:type="dxa"/>
              <w:left w:w="140" w:type="dxa"/>
              <w:right w:w="140" w:type="dxa"/>
            </w:tcMar>
          </w:tcPr>
          <w:p>
            <w:r>
              <w:rPr>
                <w:sz w:val="18"/>
              </w:rPr>
              <w:t>SLA Compliance % &amp; Rep Response Times</w:t>
            </w:r>
          </w:p>
        </w:tc>
      </w:tr>
      <w:tr>
        <w:tc>
          <w:tcPr>
            <w:tcW w:type="dxa" w:w="2160"/>
            <w:shd w:fill="F7FAFC"/>
            <w:tcMar>
              <w:top w:w="100" w:type="dxa"/>
              <w:bottom w:w="100" w:type="dxa"/>
              <w:left w:w="140" w:type="dxa"/>
              <w:right w:w="140" w:type="dxa"/>
            </w:tcMar>
          </w:tcPr>
          <w:p>
            <w:r>
              <w:rPr>
                <w:b/>
                <w:color w:val="1B365D"/>
                <w:sz w:val="18"/>
              </w:rPr>
              <w:t>CRM Call Logs</w:t>
            </w:r>
          </w:p>
        </w:tc>
        <w:tc>
          <w:tcPr>
            <w:tcW w:type="dxa" w:w="2592"/>
            <w:shd w:fill="F7FAFC"/>
            <w:tcMar>
              <w:top w:w="100" w:type="dxa"/>
              <w:bottom w:w="100" w:type="dxa"/>
              <w:left w:w="140" w:type="dxa"/>
              <w:right w:w="140" w:type="dxa"/>
            </w:tcMar>
          </w:tcPr>
          <w:p>
            <w:r>
              <w:rPr>
                <w:sz w:val="18"/>
              </w:rPr>
              <w:t>Activity volume &amp; duration tracking</w:t>
            </w:r>
          </w:p>
        </w:tc>
        <w:tc>
          <w:tcPr>
            <w:tcW w:type="dxa" w:w="2304"/>
            <w:shd w:fill="F7FAFC"/>
            <w:tcMar>
              <w:top w:w="100" w:type="dxa"/>
              <w:bottom w:w="100" w:type="dxa"/>
              <w:left w:w="140" w:type="dxa"/>
              <w:right w:w="140" w:type="dxa"/>
            </w:tcMar>
          </w:tcPr>
          <w:p>
            <w:r>
              <w:rPr>
                <w:sz w:val="18"/>
              </w:rPr>
              <w:t>Daily Sync</w:t>
            </w:r>
          </w:p>
        </w:tc>
        <w:tc>
          <w:tcPr>
            <w:tcW w:type="dxa" w:w="2304"/>
            <w:shd w:fill="F7FAFC"/>
            <w:tcMar>
              <w:top w:w="100" w:type="dxa"/>
              <w:bottom w:w="100" w:type="dxa"/>
              <w:left w:w="140" w:type="dxa"/>
              <w:right w:w="140" w:type="dxa"/>
            </w:tcMar>
          </w:tcPr>
          <w:p>
            <w:r>
              <w:rPr>
                <w:sz w:val="18"/>
              </w:rPr>
              <w:t>Rep Activity &amp; Customer Touchpoints</w:t>
            </w:r>
          </w:p>
        </w:tc>
      </w:tr>
      <w:tr>
        <w:tc>
          <w:tcPr>
            <w:tcW w:type="dxa" w:w="2160"/>
            <w:shd w:fill="FFFFFF"/>
            <w:tcMar>
              <w:top w:w="100" w:type="dxa"/>
              <w:bottom w:w="100" w:type="dxa"/>
              <w:left w:w="140" w:type="dxa"/>
              <w:right w:w="140" w:type="dxa"/>
            </w:tcMar>
          </w:tcPr>
          <w:p>
            <w:r>
              <w:rPr>
                <w:b/>
                <w:color w:val="1B365D"/>
                <w:sz w:val="18"/>
              </w:rPr>
              <w:t>CRM Deals &amp; Value</w:t>
            </w:r>
          </w:p>
        </w:tc>
        <w:tc>
          <w:tcPr>
            <w:tcW w:type="dxa" w:w="2592"/>
            <w:shd w:fill="FFFFFF"/>
            <w:tcMar>
              <w:top w:w="100" w:type="dxa"/>
              <w:bottom w:w="100" w:type="dxa"/>
              <w:left w:w="140" w:type="dxa"/>
              <w:right w:w="140" w:type="dxa"/>
            </w:tcMar>
          </w:tcPr>
          <w:p>
            <w:r>
              <w:rPr>
                <w:sz w:val="18"/>
              </w:rPr>
              <w:t>Pipeline stage progression &amp; close ratios</w:t>
            </w:r>
          </w:p>
        </w:tc>
        <w:tc>
          <w:tcPr>
            <w:tcW w:type="dxa" w:w="2304"/>
            <w:shd w:fill="FFFFFF"/>
            <w:tcMar>
              <w:top w:w="100" w:type="dxa"/>
              <w:bottom w:w="100" w:type="dxa"/>
              <w:left w:w="140" w:type="dxa"/>
              <w:right w:w="140" w:type="dxa"/>
            </w:tcMar>
          </w:tcPr>
          <w:p>
            <w:r>
              <w:rPr>
                <w:sz w:val="18"/>
              </w:rPr>
              <w:t>Real-Time</w:t>
            </w:r>
          </w:p>
        </w:tc>
        <w:tc>
          <w:tcPr>
            <w:tcW w:type="dxa" w:w="2304"/>
            <w:shd w:fill="FFFFFF"/>
            <w:tcMar>
              <w:top w:w="100" w:type="dxa"/>
              <w:bottom w:w="100" w:type="dxa"/>
              <w:left w:w="140" w:type="dxa"/>
              <w:right w:w="140" w:type="dxa"/>
            </w:tcMar>
          </w:tcPr>
          <w:p>
            <w:r>
              <w:rPr>
                <w:sz w:val="18"/>
              </w:rPr>
              <w:t>Revenue Forecast &amp; Conversion Funnel</w:t>
            </w:r>
          </w:p>
        </w:tc>
      </w:tr>
    </w:tbl>
    <w:p>
      <w:pPr>
        <w:keepNext/>
        <w:spacing w:before="360" w:after="120"/>
      </w:pPr>
      <w:r>
        <w:rPr>
          <w:b/>
          <w:color w:val="0284C7"/>
          <w:sz w:val="30"/>
        </w:rPr>
        <w:t xml:space="preserve">6. </w:t>
      </w:r>
      <w:r>
        <w:rPr>
          <w:b/>
          <w:color w:val="1B365D"/>
          <w:sz w:val="30"/>
        </w:rPr>
        <w:t>Summary &amp; Next Steps</w:t>
      </w:r>
    </w:p>
    <w:p>
      <w:pPr>
        <w:spacing w:after="160" w:line="276" w:lineRule="auto"/>
      </w:pPr>
      <w:r>
        <w:t>By building PC CRM in-house and empowering it with the Lead Classification System (LCS) as an intelligent middleware, PACE has transitioned from manual, reactive sales management into a high-performance, automated sales machine. Every lead is scored, tiered, assigned, and tracked against uncompromising response standards.</w:t>
      </w:r>
    </w:p>
    <w:p>
      <w:pPr>
        <w:spacing w:after="160" w:line="276" w:lineRule="auto"/>
      </w:pPr>
      <w:r>
        <w:t>Immediate roadmap priorities currently in planning:</w:t>
        <w:br/>
        <w:t>1. WhatsApp SLA Direct Alerts: Integrating automated WhatsApp reminder messages sent directly to salespeople's mobile phones 1 hour prior to deadline.</w:t>
        <w:br/>
        <w:t>2. Organizational Dashboard API Connector: Finalizing the automated data warehouse feed to mirror CRM data to the leadership dashboard.</w:t>
        <w:br/>
        <w:t>3. Predictive Conversion Modeling: Training LCS on historical conversion records to dynamically refine score weights over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