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jc w:val="center"/>
        <w:rPr>
          <w:rFonts w:ascii="Calibri" w:cs="Calibri" w:eastAsia="Calibri" w:hAnsi="Calibri"/>
          <w:b/>
          <w:bCs/>
          <w:color w:val="1B365D"/>
          <w:sz w:val="48"/>
          <w:szCs w:val="48"/>
        </w:rPr>
      </w:pPr>
      <w:r>
        <w:t xml:space="preserve">EXECUTIVE STRATEGY &amp; OPERATIONAL BLUEPRINT</w:t>
      </w:r>
    </w:p>
    <w:p>
      <w:pPr>
        <w:spacing w:after="360" w:before="0"/>
        <w:jc w:val="center"/>
        <w:rPr>
          <w:rFonts w:ascii="Calibri" w:cs="Calibri" w:eastAsia="Calibri" w:hAnsi="Calibri"/>
          <w:i/>
          <w:iCs/>
          <w:color w:val="2B6CB0"/>
          <w:sz w:val="26"/>
          <w:szCs w:val="26"/>
        </w:rPr>
      </w:pPr>
      <w:r>
        <w:t xml:space="preserve">End-to-End Court Lead Qualification, Fit × Intent Scoring &amp; Cadence Monitoring System</w:t>
      </w:r>
    </w:p>
    <w:p>
      <w:pPr>
        <w:spacing w:after="300" w:before="80"/>
        <w:jc w:val="center"/>
      </w:pPr>
      <w:r>
        <w:rPr>
          <w:b/>
          <w:bCs/>
          <w:color w:val="1B365D"/>
        </w:rPr>
        <w:t xml:space="preserve">Prepared for: </w:t>
      </w:r>
      <w:r>
        <w:t xml:space="preserve">Executive Leadership &amp; Commercial Steering Committee  |  </w:t>
      </w:r>
      <w:r>
        <w:rPr>
          <w:b/>
          <w:bCs/>
          <w:color w:val="1B365D"/>
        </w:rPr>
        <w:t xml:space="preserve">Platform: </w:t>
      </w:r>
      <w:r>
        <w:t xml:space="preserve">Frappe CRM Integration  |  </w:t>
      </w:r>
      <w:r>
        <w:rPr>
          <w:b/>
          <w:bCs/>
          <w:color w:val="1B365D"/>
        </w:rPr>
        <w:t xml:space="preserve">Date: </w:t>
      </w:r>
      <w:r>
        <w:t xml:space="preserve">October 2026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none"/>
              <w:left w:val="single" w:color="2B6CB0" w:sz="24"/>
              <w:bottom w:val="none"/>
              <w:right w:val="none"/>
            </w:tcBorders>
            <w:shd w:fill="EBF8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2"/>
                <w:szCs w:val="22"/>
              </w:rPr>
              <w:t xml:space="preserve">★ Strategic Executive Summary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2D3748"/>
                <w:sz w:val="21"/>
                <w:szCs w:val="21"/>
              </w:rPr>
              <w:t xml:space="preserve">This blueprint presents an automated, data-driven revenue engine for our sports infrastructure &amp; acrylic court surfacing business. By combining explicit buyer profile data (Fit) with real-time digital engagement signals (Intent), the system automatically categorizes every inbound inquiry into a 3×3 priority matrix, enforces rigid SLA response standards, orchestrates multi-channel cadences (Phone, WhatsApp, AI Voice), and holds territory dealers strictly accountable.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B365D" w:sz="12"/>
        </w:pBdr>
        <w:spacing w:after="160" w:before="360"/>
        <w:rPr>
          <w:rFonts w:ascii="Calibri" w:cs="Calibri" w:eastAsia="Calibri" w:hAnsi="Calibri"/>
          <w:b/>
          <w:bCs/>
          <w:color w:val="1B365D"/>
          <w:sz w:val="32"/>
          <w:szCs w:val="32"/>
        </w:rPr>
      </w:pPr>
      <w:r>
        <w:t xml:space="preserve">1. Business Context: Transforming Inbound Lead Operations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In the high-value sports flooring and court construction industry, deals range from ₹5 Lakhs to ₹1+ Crore. However, sales operations face three major bottlenecks when relying on manual processes: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Lead Dilution &amp; Rep Misalignment: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Sales representatives spend up to 40% of their time calling low-budget private backyard owners, students, or vendors, while high-value institutional sports contractors and clubs sit waiting in the queue.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The "Speed-to-Lead" Crisis: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Industry data shows that responding within 4 hours increases conversion by over 300%. Without automation, hot inquiries often wait 24 to 72 hours before first contact.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The Dealer "Black Hole":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Because territory dealers execute site surveys and quotes, deals frequently stall after sales qualification. Without real-time cadence monitoring, management has zero visibility into whether dealers accepted the lead, conducted the site survey, or sent the quotation on time.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solution is a closed-loop system connecting our public web portal (AST), Frappe CRM, an automated Fit × Intent Scoring Engine, and a 24/7 Cadence &amp; SLA Watchdog.</w:t>
      </w:r>
    </w:p>
    <w:p>
      <w:pPr>
        <w:spacing w:after="200"/>
      </w:pPr>
    </w:p>
    <w:p>
      <w:pPr>
        <w:pStyle w:val="Heading1"/>
        <w:pBdr>
          <w:bottom w:val="single" w:color="1B365D" w:sz="12"/>
        </w:pBdr>
        <w:spacing w:after="160" w:before="360"/>
        <w:rPr>
          <w:rFonts w:ascii="Calibri" w:cs="Calibri" w:eastAsia="Calibri" w:hAnsi="Calibri"/>
          <w:b/>
          <w:bCs/>
          <w:color w:val="1B365D"/>
          <w:sz w:val="32"/>
          <w:szCs w:val="32"/>
        </w:rPr>
      </w:pPr>
      <w:r>
        <w:t xml:space="preserve">2. The Lead Scoring Framework: Fit × Intent Methodology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Every prospective buyer is evaluated across two independent, non-negotiable axes: Fit (Who they are) and Intent (How urgently they are looking to buy).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2B6CB0"/>
          <w:sz w:val="26"/>
          <w:szCs w:val="26"/>
        </w:rPr>
      </w:pPr>
      <w:r>
        <w:t xml:space="preserve">A. Fit Score (0–50): "Is this the kind of buyer we want?"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Fit evaluates whether the prospective client matches our Ideal Customer Profile (ICP). It is calculated from explicit form inputs, organizational vetting, and project specifications.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18096"/>
          <w:sz w:val="19"/>
          <w:szCs w:val="19"/>
        </w:rPr>
        <w:t xml:space="preserve">Figure: Fit Score Evaluation Signals &amp; Weighting Table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2"/>
          <w:szCs w:val="22"/>
        </w:rPr>
        <w:t xml:space="preserve">Key Strategic Rules for Fit Evaluation: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Tier 1 Priority (+20 pts):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Sports infrastructure contractors, schools/universities, municipal sports bodies, real estate developers, and sports clubs receive top weighting due to high repeat procurement and large ticket size.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Authority Weighting (+10 / +6 pts):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Direct decision-makers (owners, project directors, procurement heads) are fast-tracked compared to general influencers (facility staff, students).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Scale Thresholds (+10 pts):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Projects specifying 3+ courts or ≥ 2,000 m² automatically gain maximum volume bonus.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Geographic Serviceability (+5 / -15 pts):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Projects inside our active dealer service regions gain +5 points. Inquiries outside our service network are penalized -15 points to prevent sales rep distraction.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Immediate Disqualification: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Competitors, job seekers, and students are assigned -50 points and automatically disqualified from sales outreach.</w:t>
      </w:r>
    </w:p>
    <w:p>
      <w:r>
        <w:br w:type="page"/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2B6CB0"/>
          <w:sz w:val="26"/>
          <w:szCs w:val="26"/>
        </w:rPr>
      </w:pPr>
      <w:r>
        <w:t xml:space="preserve">B. Intent Score (0–50): "How ready are they to buy right now?"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Intent measures buyer urgency based on active digital behavior rather than stated interest. The calculation follows a 4-step sequential formula:</w:t>
      </w:r>
    </w:p>
    <w:p>
      <w:pPr>
        <w:pStyle w:val="Heading3"/>
        <w:spacing w:after="80" w:before="180"/>
        <w:rPr>
          <w:rFonts w:ascii="Calibri" w:cs="Calibri" w:eastAsia="Calibri" w:hAnsi="Calibri"/>
          <w:b/>
          <w:bCs/>
          <w:color w:val="2D3748"/>
          <w:sz w:val="22"/>
          <w:szCs w:val="22"/>
        </w:rPr>
      </w:pPr>
      <w:r>
        <w:t xml:space="preserve">Step 1: Deepest Page Reached (Base Intent: Up to 25 pts)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To prevent visitors from inflating scores by aimlessly clicking, only the single deepest page reached in a session is counted.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22383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18096"/>
          <w:sz w:val="19"/>
          <w:szCs w:val="19"/>
        </w:rPr>
        <w:t xml:space="preserve">Figure: Step A: Deepest Page Reached Scoring Tiers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High-Intent Conversions (+25 pts):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Visiting Request a Quote, Site-Visit Request, or WhatsApp Click-to-Chat signals immediate procurement intention.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Evaluation Pages (+10 pts):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Reviewing court specifications, system technical datasheets, or case studies indicates serious evaluation.</w:t>
      </w:r>
    </w:p>
    <w:p>
      <w:pPr>
        <w:pStyle w:val="Heading3"/>
        <w:spacing w:after="80" w:before="180"/>
        <w:rPr>
          <w:rFonts w:ascii="Calibri" w:cs="Calibri" w:eastAsia="Calibri" w:hAnsi="Calibri"/>
          <w:b/>
          <w:bCs/>
          <w:color w:val="2D3748"/>
          <w:sz w:val="22"/>
          <w:szCs w:val="22"/>
        </w:rPr>
      </w:pPr>
      <w:r>
        <w:t xml:space="preserve">Step 2: High-Value Buyer Behaviors (Added Points)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Every high-intent action performed on our digital platforms adds cumulative points.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35528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18096"/>
          <w:sz w:val="19"/>
          <w:szCs w:val="19"/>
        </w:rPr>
        <w:t xml:space="preserve">Figure: Step B: Behavioral Signals and Fast-Track Triggers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Interactive Estimator (+12 pts):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Prospective clients who run numbers on our Court Cost Estimator demonstrate active budgeting.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Spec Sheet Downloads (+10 pts):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Architects and contractors downloading technical certification sheets represent active bid preparation.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High-Velocity Return (+8 pts):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Prospects returning to the website within 7 days across 2+ sessions indicate active decision cycles.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RFQ / Tender Document Attached: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Immediately triggers a Fast-Track override, bypassing standard nurture loops straight to Hot Priority.</w:t>
      </w:r>
    </w:p>
    <w:p>
      <w:r>
        <w:br w:type="page"/>
      </w:r>
    </w:p>
    <w:p>
      <w:pPr>
        <w:pStyle w:val="Heading3"/>
        <w:spacing w:after="80" w:before="180"/>
        <w:rPr>
          <w:rFonts w:ascii="Calibri" w:cs="Calibri" w:eastAsia="Calibri" w:hAnsi="Calibri"/>
          <w:b/>
          <w:bCs/>
          <w:color w:val="2D3748"/>
          <w:sz w:val="22"/>
          <w:szCs w:val="22"/>
        </w:rPr>
      </w:pPr>
      <w:r>
        <w:t xml:space="preserve">Step 3 &amp; 4: Acquisition Channel Multiplier &amp; Time Decay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Raw intent points are adjusted based on where the visitor originated and decayed over time to ensure freshness.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30956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18096"/>
          <w:sz w:val="19"/>
          <w:szCs w:val="19"/>
        </w:rPr>
        <w:t xml:space="preserve">Figure: Steps C &amp; D: Acquisition Channel Multipliers and Inactivity Decay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Commercial Search Urgency (1.5×):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Google searches containing buying keywords ("court contractor near me", "acrylic flooring cost") carry a 1.5× multiplier, recognizing high commercial intent.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Informational Search (0.8×):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Searches for general information ("tennis court dimensions") are tempered with a 0.8× multiplier.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Referral &amp; Direct Trust (1.3×):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Direct URL visits, client referrals, and dealer introductions carry a 1.3× boost due to pre-established trust.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Automated Inactivity Decay (0.75× / 30 Days):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If a prospect stops engaging, their intent score automatically decays by 25% every 30 days. Stale leads naturally fall out of active queues.</w:t>
      </w:r>
    </w:p>
    <w:p>
      <w:pPr>
        <w:spacing w:after="200"/>
      </w:pPr>
    </w:p>
    <w:p>
      <w:pPr>
        <w:pStyle w:val="Heading1"/>
        <w:pBdr>
          <w:bottom w:val="single" w:color="1B365D" w:sz="12"/>
        </w:pBdr>
        <w:spacing w:after="160" w:before="360"/>
        <w:rPr>
          <w:rFonts w:ascii="Calibri" w:cs="Calibri" w:eastAsia="Calibri" w:hAnsi="Calibri"/>
          <w:b/>
          <w:bCs/>
          <w:color w:val="1B365D"/>
          <w:sz w:val="32"/>
          <w:szCs w:val="32"/>
        </w:rPr>
      </w:pPr>
      <w:r>
        <w:t xml:space="preserve">3. The 3×3 Decision Grid: Automated Lead Routing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By crossing the Fit Score (Axis A/B/C) with the Intent Score (Axis 1/2/3), the system automatically routes every lead to an exact operational owner and response timeline.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20002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18096"/>
          <w:sz w:val="19"/>
          <w:szCs w:val="19"/>
        </w:rPr>
        <w:t xml:space="preserve">Figure: The 3×3 Grid: Operational Lead Routing Matrix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2"/>
          <w:szCs w:val="22"/>
        </w:rPr>
        <w:t xml:space="preserve">Grid Categorization Breakdown for Leadership: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Grid Cell A1 [HOT]: Fit A (≥35) + Intent 1 (≥35):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High-value target with immediate buying intent. SLA: First call within 4 hours. Dedicated attention from Inside Sales + Sales Team Lead involvement.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Grid Cells A2 &amp; B1 [MQL]: High Fit / Moderate Intent OR Moderate Fit / High Intent: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Institutional buyer or urgent commercial inquiry. SLA: First call within 24 hours.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Grid Cell B2 [MQL Qualify]: Fit B (25–34) + Intent 2 (20–34):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Moderate opportunity requiring discovery by inside sales. SLA: Call within 48 hours.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Grid Cell C1 [Dealer / Self-Serve]: Fit C (&lt;25) + Intent 1 (≥35):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Typically private individuals or single residential courts. Route directly to territory dealer within 24 hours or provide self-serve court pricing.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Grid Cells A3, B3, C2 [Nurture]: Fit A/B/C + Intent 3 (&lt;20):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No sales calls. Added to automated WhatsApp and email nurture campaigns. Rescored automatically when they show fresh activity.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Grid Cell C3 [No Action]: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Low fit and low intent. Archived to preserve sales team focus.</w:t>
      </w:r>
    </w:p>
    <w:p>
      <w:r>
        <w:br w:type="page"/>
      </w:r>
    </w:p>
    <w:p>
      <w:pPr>
        <w:pStyle w:val="Heading1"/>
        <w:pBdr>
          <w:bottom w:val="single" w:color="1B365D" w:sz="12"/>
        </w:pBdr>
        <w:spacing w:after="160" w:before="360"/>
        <w:rPr>
          <w:rFonts w:ascii="Calibri" w:cs="Calibri" w:eastAsia="Calibri" w:hAnsi="Calibri"/>
          <w:b/>
          <w:bCs/>
          <w:color w:val="1B365D"/>
          <w:sz w:val="32"/>
          <w:szCs w:val="32"/>
        </w:rPr>
      </w:pPr>
      <w:r>
        <w:t xml:space="preserve">4. The Follow-Up System &amp; Cadence Monitoring Timeline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This operational matrix represents the exact standard operating procedure (SOP) that will be monitored and enforced by the automated CRM system.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30003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18096"/>
          <w:sz w:val="19"/>
          <w:szCs w:val="19"/>
        </w:rPr>
        <w:t xml:space="preserve">Figure: Complete Playbook Matrix: Multi-Touch Cadences, Dealer SLAs, and Milestone Timelines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2B6CB0"/>
          <w:sz w:val="26"/>
          <w:szCs w:val="26"/>
        </w:rPr>
      </w:pPr>
      <w:r>
        <w:t xml:space="preserve">Detailed Breakdown of the Playbook Timelines:</w:t>
      </w:r>
    </w:p>
    <w:p>
      <w:pPr>
        <w:pStyle w:val="Heading3"/>
        <w:spacing w:after="80" w:before="180"/>
        <w:rPr>
          <w:rFonts w:ascii="Calibri" w:cs="Calibri" w:eastAsia="Calibri" w:hAnsi="Calibri"/>
          <w:b/>
          <w:bCs/>
          <w:color w:val="2D3748"/>
          <w:sz w:val="22"/>
          <w:szCs w:val="22"/>
        </w:rPr>
      </w:pPr>
      <w:r>
        <w:t xml:space="preserve">1. Hot · A1 or Fast-Track Playbook (Top Priority)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First Response SLA: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Mandatory phone contact within 4 hours of form submission.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Contact Cadence (6 Touches over 7 Days):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Day 0: Call 1 (Inside Sales) → Day 0: Call 2 + WhatsApp intro with full court catalogue &amp; project photos → Day 1: Call 3 → Day 2: AI Voice Bot follow-up call + WhatsApp → Day 4: Call 4 + email with nearby completed court case study → Day 7: Direct call from Sales Team Lead.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Recycle Deadline: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Day 10. If prospect remains completely unresponsive after 6 touches, automatically transferred to Nurture (prevents reps hoarding dead leads).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Dealer Acceptance SLA: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Assigned territory dealer must formally accept and acknowledge the lead within 24 hours.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Site Visit &amp; Quote SLA: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3 days for on-site base survey + 3 days to deliver the official BOQ/Quotation (Total: 6 days).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Client Follow-up SLA: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Inside sales checks in with client within 2 days after quotation submission.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Dealer Progress Update: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Dealer must submit status updates every 3 days until PO or outcome.</w:t>
      </w:r>
    </w:p>
    <w:p>
      <w:pPr>
        <w:pStyle w:val="Heading3"/>
        <w:spacing w:after="80" w:before="180"/>
        <w:rPr>
          <w:rFonts w:ascii="Calibri" w:cs="Calibri" w:eastAsia="Calibri" w:hAnsi="Calibri"/>
          <w:b/>
          <w:bCs/>
          <w:color w:val="2D3748"/>
          <w:sz w:val="22"/>
          <w:szCs w:val="22"/>
        </w:rPr>
      </w:pPr>
      <w:r>
        <w:t xml:space="preserve">2. MQL · A2 or B1 Playbook (Standard High Priority)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First Response SLA: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Contact within 24 hours.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Contact Cadence (5 Touches over 9 Days):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Day 0: Call 1 → Day 1: Call 2 + WhatsApp intro → Day 2: AI Voice Bot call → Day 5: Call 3 + Case Study email → Day 9: Final qualification call.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Recycle Deadline: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Day 14. Automatically moves to Nurture if unreached.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Dealer &amp; Quote Timelines: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Dealer accepts in 24 hrs. 7 days for site survey + 5 days for quote (Total: 12 days). Client follow-up in 3 days; dealer updates every 7 days.</w:t>
      </w:r>
    </w:p>
    <w:p>
      <w:pPr>
        <w:pStyle w:val="Heading3"/>
        <w:spacing w:after="80" w:before="180"/>
        <w:rPr>
          <w:rFonts w:ascii="Calibri" w:cs="Calibri" w:eastAsia="Calibri" w:hAnsi="Calibri"/>
          <w:b/>
          <w:bCs/>
          <w:color w:val="2D3748"/>
          <w:sz w:val="22"/>
          <w:szCs w:val="22"/>
        </w:rPr>
      </w:pPr>
      <w:r>
        <w:t xml:space="preserve">3. MQL · B2 Playbook (Inside Sales Qualifies)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First Response SLA: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Contact within 48 hours.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Contact Cadence (5 Touches over 13 Days):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Day 0: Call 1 → Day 1: AI Bot call → Day 3: Call 2 + WhatsApp → Day 7: Email + WhatsApp with Court Cost Guide → Day 13: Final call.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Recycle Deadline: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Day 21. Handed over to automated email nurture if unresponsive.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Dealer &amp; Quote Timelines: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Dealer accepts in 48 hrs. 10 days for site survey + 7 days for quote. Client follow-up in 4 days; dealer updates every 7 days.</w:t>
      </w:r>
    </w:p>
    <w:p>
      <w:pPr>
        <w:pStyle w:val="Heading3"/>
        <w:spacing w:after="80" w:before="180"/>
        <w:rPr>
          <w:rFonts w:ascii="Calibri" w:cs="Calibri" w:eastAsia="Calibri" w:hAnsi="Calibri"/>
          <w:b/>
          <w:bCs/>
          <w:color w:val="2D3748"/>
          <w:sz w:val="22"/>
          <w:szCs w:val="22"/>
        </w:rPr>
      </w:pPr>
      <w:r>
        <w:t xml:space="preserve">4. C1 · Dealer / Self-Serve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Turnaround: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Transferred directly to dealer; dealer must initiate call within 24 hours. Inside sales conducts an audit call with the dealer on Day 7 to verify customer contact.</w:t>
      </w:r>
    </w:p>
    <w:p>
      <w:r>
        <w:br w:type="page"/>
      </w:r>
    </w:p>
    <w:p>
      <w:pPr>
        <w:pStyle w:val="Heading1"/>
        <w:pBdr>
          <w:bottom w:val="single" w:color="1B365D" w:sz="12"/>
        </w:pBdr>
        <w:spacing w:after="160" w:before="360"/>
        <w:rPr>
          <w:rFonts w:ascii="Calibri" w:cs="Calibri" w:eastAsia="Calibri" w:hAnsi="Calibri"/>
          <w:b/>
          <w:bCs/>
          <w:color w:val="1B365D"/>
          <w:sz w:val="32"/>
          <w:szCs w:val="32"/>
        </w:rPr>
      </w:pPr>
      <w:r>
        <w:t xml:space="preserve">5. How Management Will Monitor &amp; Enforce This in Real Time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To ensure this plan does not remain "on paper", the Frappe CRM system incorporates four active monitoring mechanisms: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2B6CB0"/>
          <w:sz w:val="26"/>
          <w:szCs w:val="26"/>
        </w:rPr>
      </w:pPr>
      <w:r>
        <w:t xml:space="preserve">A. Automated SLA Countdown Clocks &amp; Escalation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Every lead enters the CRM with pre-calculated deadline timestamps (`first_response_due`, `dealer_accept_due`, `quote_due`).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Rep First Response Alarm: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If an A1 lead is not contacted within 4 hours, the CRM flags the card in red and immediately sends a priority escalation alert to the Sales Team Lead on Slack and WhatsApp.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Dealer 24-Hour Acceptance Watchdog: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When a dealer receives an SQL, a 24-hour timer starts. If the dealer fails to accept the lead within the window, an automated SMS/WhatsApp warning is dispatched. If unaccepted at 36 hours, the system automatically revokes the lead and reassigns it to the alternate dealer in that territory.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Dealer Stagnation Alert: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If 3 days (Hot) or 7 days (MQL) elapse without a logged update from the dealer, the system sends an automated WhatsApp prompt: "Status update required for Lead [Client Name] — Site Visit / Quote pending."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2B6CB0"/>
          <w:sz w:val="26"/>
          <w:szCs w:val="26"/>
        </w:rPr>
      </w:pPr>
      <w:r>
        <w:t xml:space="preserve">B. Intelligent Cadence Automation (Rep + WhatsApp + AI Voice Bot)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Zero-Friction Logging: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When a rep logs a call outcome (e.g., "No Answer"), the system automatically schedules the exact next touch in the playbook, eliminating manual calendar guessing.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Multi-Channel Touch Execution: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On Day 0, the system triggers the WhatsApp API to dispatch the official AST Court Catalogue and project gallery. On Day 2, an AI Voice Agent initiates the follow-up call, seamlessly qualifying the prospect and updating the CRM record.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Instant Stage Advancement: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The moment a customer answers and confirms project details, the lead breaks out of the "Attempting Contact" cadence and transitions into "Connected · Discovery" for SQL qualification.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2B6CB0"/>
          <w:sz w:val="26"/>
          <w:szCs w:val="26"/>
        </w:rPr>
      </w:pPr>
      <w:r>
        <w:t xml:space="preserve">C. Monsoon Seasonality Buffer (Sports Flooring Industry Specific)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Outdoor acrylic court surfacing cannot cure in rainy conditions. In our industry, unmonitored leads often stall during monsoon months and are mistakenly written off as lost.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Automated Monsoon Detection: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The system cross-references the project city with regional Indian monsoon windows (e.g. West Coast: June–Oct; North: July–Sept; Tamil Nadu: Oct–Dec).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Monsoon Slot Booking Workflow: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Instead of flagging delays as dealer failure, the CRM automatically switches the deal into a "Monsoon Booking" milestone, prompting sales to lock in a 20% advance payment to reserve an installation slot for post-monsoon execution.</w:t>
      </w:r>
    </w:p>
    <w:p>
      <w:pPr>
        <w:spacing w:after="200"/>
      </w:pPr>
    </w:p>
    <w:p>
      <w:pPr>
        <w:pStyle w:val="Heading1"/>
        <w:pBdr>
          <w:bottom w:val="single" w:color="1B365D" w:sz="12"/>
        </w:pBdr>
        <w:spacing w:after="160" w:before="360"/>
        <w:rPr>
          <w:rFonts w:ascii="Calibri" w:cs="Calibri" w:eastAsia="Calibri" w:hAnsi="Calibri"/>
          <w:b/>
          <w:bCs/>
          <w:color w:val="1B365D"/>
          <w:sz w:val="32"/>
          <w:szCs w:val="32"/>
        </w:rPr>
      </w:pPr>
      <w:r>
        <w:t xml:space="preserve">6. Executive KPI Dashboard &amp; Management Metrics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Top management will monitor commercial performance through four core executive metrics rendered directly in Frappe CRM: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Speed to Lead (Median First Response Time):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Target: &lt; 4 hours for Hot leads; &lt; 24 hours for MQLs. Monitored weekly by rep and channel.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Cadence Compliance Rate (% On-Time Touches):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Percentage of playbook touches executed on the scheduled day. Target: ≥ 90% team compliance.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Dealer Performance &amp; Conversion Index: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Ranking territory dealers by: (1) On-time acceptance rate, (2) Days to quote delivery, and (3) Win rate. Dealers with higher compliance receive priority lead routing.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Touch Conversion Attribution: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Visibility into which touch closes the customer (e.g., Call 1 vs Day 2 AI Bot vs Day 7 Sales Lead Call), allowing continuous optimization of marketing spend.</w:t>
      </w:r>
    </w:p>
    <w:p>
      <w:pPr>
        <w:spacing w:after="200"/>
      </w:pPr>
    </w:p>
    <w:p>
      <w:pPr>
        <w:pStyle w:val="Heading1"/>
        <w:pBdr>
          <w:bottom w:val="single" w:color="1B365D" w:sz="12"/>
        </w:pBdr>
        <w:spacing w:after="160" w:before="360"/>
        <w:rPr>
          <w:rFonts w:ascii="Calibri" w:cs="Calibri" w:eastAsia="Calibri" w:hAnsi="Calibri"/>
          <w:b/>
          <w:bCs/>
          <w:color w:val="1B365D"/>
          <w:sz w:val="32"/>
          <w:szCs w:val="32"/>
        </w:rPr>
      </w:pPr>
      <w:r>
        <w:t xml:space="preserve">7. Implementation Roadmap &amp; Rollout Plan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rollout is organized into four clean operational phases: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Phase 1: CRM Centralization &amp; Intake (Weeks 1–2):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Deploy Frappe CRM Lead module; connect web forms and WhatsApp webhook directly to CRM with custom fields for Fit, Intent, and Grid Cell.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Phase 2: Automated Scoring &amp; Routing (Weeks 3–4):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Implement Fit &amp; Intent calculation engine, acquisition channel multipliers, and the 3×3 Grid assignment logic.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Phase 3: Cadence &amp; Dealer SLA Watchdogs (Weeks 5–6):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Activate automated 15-minute SLA background checks, dealer acceptance timers, auto-reassignment rules, and rep daily worklists.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Phase 4: AI Voice &amp; Multi-Channel Integrations (Weeks 7–8):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Deploy WhatsApp automated catalogue delivery and Day 2 AI Voice Agent follow-ups.</w:t>
      </w:r>
    </w:p>
    <w:p>
      <w:pPr>
        <w:spacing w:after="2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none"/>
              <w:left w:val="single" w:color="2B6CB0" w:sz="24"/>
              <w:bottom w:val="none"/>
              <w:right w:val="none"/>
            </w:tcBorders>
            <w:shd w:fill="EBF8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2"/>
                <w:szCs w:val="22"/>
              </w:rPr>
              <w:t xml:space="preserve">★ Expected Strategic Outcomes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2D3748"/>
                <w:sz w:val="21"/>
                <w:szCs w:val="21"/>
              </w:rPr>
              <w:t xml:space="preserve">Upon full rollout, the organization expects: (1) 300% faster response times for institutional buyers, (2) Zero leads dropped in dealer handoffs, (3) 40% reduction in sales rep administrative overhead, and (4) An estimated 25–35% increase in lead-to-opportunity conversion across acrylic sports flooring projects.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0a7da18719914c1925138bb576f972142238ce1.png"/><Relationship Id="rId8" Type="http://schemas.openxmlformats.org/officeDocument/2006/relationships/image" Target="media/c8c8fc7f45cb1222e483a564094937cf0e3c98a9.png"/><Relationship Id="rId9" Type="http://schemas.openxmlformats.org/officeDocument/2006/relationships/image" Target="media/afe2bc68015b254b36aaf139d0b7019a72578f43.png"/><Relationship Id="rId10" Type="http://schemas.openxmlformats.org/officeDocument/2006/relationships/image" Target="media/d1ead9f98997d0295459675aa3e6968c0e7f6024.png"/><Relationship Id="rId11" Type="http://schemas.openxmlformats.org/officeDocument/2006/relationships/image" Target="media/a85bf89c883343acf7f258f1ed52c4bd61de023d.png"/><Relationship Id="rId12" Type="http://schemas.openxmlformats.org/officeDocument/2006/relationships/image" Target="media/7e2ec1a664bc37abcd6066d6705b968d8b3302e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 Lead MQL &amp; Cadence Monitoring Plan</dc:title>
  <dc:creator>Commercial &amp; Sales Operations Team</dc:creator>
  <dc:description>Executive Strategy &amp; Implementation Blueprint for Top Management</dc:description>
  <cp:lastModifiedBy>Un-named</cp:lastModifiedBy>
  <cp:revision>1</cp:revision>
  <dcterms:created xsi:type="dcterms:W3CDTF">2026-10-14T10:27:16.083Z</dcterms:created>
  <dcterms:modified xsi:type="dcterms:W3CDTF">2026-10-14T10:27:16.084Z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