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Independent Contractor Services Agreement</w:t>
      </w:r>
    </w:p>
    <w:p>
      <w:r>
        <w:t>This Agreement is entered into between NovaTech Labs ('Client') and Ayush ('Contractor').</w:t>
      </w:r>
    </w:p>
    <w:p>
      <w:r>
        <w:t>Scope of Work: Architecture design, backend FastAPI engineering, and local AI pipeline development.</w:t>
      </w:r>
    </w:p>
    <w:p>
      <w:r>
        <w:t>Term: 3 months commencing October 1, 2024. Compensation rate: Fixed milestone disbursements.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