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rtl w:val="0"/>
        </w:rPr>
        <w:t xml:space="preserve">5 engineers</w:t>
      </w:r>
      <w:r w:rsidDel="00000000" w:rsidR="00000000" w:rsidRPr="00000000">
        <w:rPr>
          <w:rtl w:val="0"/>
        </w:rPr>
        <w:t xml:space="preserve"> to build the core risk management platform for the trading platform.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the design and development of an extensible rule engine achieving </w:t>
      </w:r>
      <w:r w:rsidDel="00000000" w:rsidR="00000000" w:rsidRPr="00000000">
        <w:rPr>
          <w:b w:val="1"/>
          <w:rtl w:val="0"/>
        </w:rPr>
        <w:t xml:space="preserve">sub-millisecond</w:t>
      </w:r>
      <w:r w:rsidDel="00000000" w:rsidR="00000000" w:rsidRPr="00000000">
        <w:rPr>
          <w:rtl w:val="0"/>
        </w:rPr>
        <w:t xml:space="preserve"> processing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Defined release milestones and execution plans for project success and goal alignment.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a Kafka-based communication system, improving performance and scalability.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Developed robust data models and database architectures for efficient data management.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Established monitoring and alerting system with Prometheus, Grafana, and Alertmanager.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6-person team in creating an automated central identity verification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Pioneered RabbitMQ integration, optimizing async workloads and replacing Sidekiq, increasing system maintainability and reliability.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Translated product initiatives into actionable engineering items for efficient project execution.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end-to-end architecture and data flow diagrams for robust performance.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August 2020 – September 2021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Pioneered a self-serve change management platform, empowering teams to integrate with Version Control.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Transformed user stories into actionable tasks aligned with business OKRs.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Optimized core product workflow by 70%, reducing error rates by 80%.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Paisabazaar</w:t>
        <w:tab/>
        <w:tab/>
        <w:tab/>
        <w:tab/>
        <w:tab/>
        <w:tab/>
        <w:tab/>
        <w:tab/>
        <w:tab/>
        <w:t xml:space="preserve">           Gurgaon, India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Orchestrated mutual funds platform revamp, driving key architectural decisions.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Saved 30% operations' teams daily man hours by automating previous manual tasks using incoming e-mail parsing and UI automation.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200,000+ user migration with minimal downtime.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Engaged with stakeholders to address bottlenecks and pain points, reducing customer complaints by 66%.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Blocknomic Technologies Ltd.                                                                                 Gurgaon, India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3 engineers in developing comprehensive products and crucial architectural decisions.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the successful conversion of HTML wireframes to React.js app conversion in 2 weeks.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Integrated with public blockchains for real-time transactions.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Designed distributed, real-time data aggregation system for unified user data view.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Established connections with partner exchanges for cross-platform trading.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Authored design documents, expediting new partner integration.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Seraro Solutions Ltd.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an event-driven IoT tracking platform using serverless architecture and AWS services.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