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Spring Boot, Docker, Kubernetes, Kafka, RabbitMQ, AWS, Redis, GRPC, REST 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                                                                  </w:t>
      </w:r>
      <w:r w:rsidDel="00000000" w:rsidR="00000000" w:rsidRPr="00000000">
        <w:rPr>
          <w:rtl w:val="0"/>
        </w:rPr>
        <w:t xml:space="preserve">September 2021 – Present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Gojek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Performed Proof of Concept and Proof of Feasibility analysis for switching over to RabbitMQ from Sidekiq for our asynchronous workloads.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Broke down ambiguous business requirements into actionable engineering initiatives by collaborating with various stakeholders and peers.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end-to-end architecture, user flow, and data flow diagrams for new mission-critical requirements from scratch.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focus groups to plan and execute the implementation of the new end-to-end automated central document processing platform, and played a key role in all initiatives across the team.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 xml:space="preserve">                                                                   August 2020 – September 2021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 xml:space="preserve">                                                                                                       Bangalore, India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design and development for a new change management platform, via which any team across the organization can integrate with the Version Control platform on a self-serve basis to provide version control experience for their entities.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Converted user stories into actionable items based on requirements in alignment with business OKRs.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optimisation of core product workflows, causing an E2E improvement of upto 70%.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</w:t>
      </w:r>
      <w:r w:rsidDel="00000000" w:rsidR="00000000" w:rsidRPr="00000000">
        <w:rPr>
          <w:rtl w:val="0"/>
        </w:rPr>
        <w:t xml:space="preserve">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                               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Drove the ground-up rework of the new mutual funds platform from conception to production while helping build the architecture from scratch, including making key High-Level and Low-Level decisions.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different stakeholders and teams including Product, Business and Operations to understand the current bottlenecks in the process and top user complaints.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plans to automate previously manual tasks and optimized major problematic workflows based on feedback and requirements collected from stakeholders.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migration of an active user base of over 200,000 active users, creating action and rollback, and fallback plans.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As the first in-house tech hire, led a team of interns to drive the product from scratch to completion, including both frontend and backend and making key architectural decisions.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various public blockchains like Bitcoin, Ethereum, Bitcoin Cash etc leading to near real-time withdrawals and redemptions.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multiple partner exchanges to facilitate trades across them.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Wrote design documents and interface specifications for partner integration, reducing the time to live for adding new partners.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Built a distributed real-time data aggregation and analysis system, aggregating real time trade and trades across connected </w:t>
      </w:r>
      <w:r w:rsidDel="00000000" w:rsidR="00000000" w:rsidRPr="00000000">
        <w:rPr>
          <w:rtl w:val="0"/>
        </w:rPr>
        <w:t xml:space="preserve">partner exchanges</w:t>
      </w:r>
      <w:r w:rsidDel="00000000" w:rsidR="00000000" w:rsidRPr="00000000">
        <w:rPr>
          <w:rtl w:val="0"/>
        </w:rPr>
        <w:t xml:space="preserve"> to provide a consolidated data view to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Built an event-driven IoT based tracking platform from scratch, based on the serverless architecture deployed on AWS.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and built solutions using various AWS services like AWS IoT, Kinesis, SQS, SNS, Lambda, EC2, S3 etc.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 August 2012 - June 2016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