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Hyph"/>
        <w:spacing w:before="0" w:after="240"/>
        <w:jc w:val="center"/>
      </w:pPr>
      <w:r>
        <w:rPr>
          <w:sz w:val="48"/>
          <w:szCs w:val="48"/>
        </w:rPr>
        <w:t xml:space="preserve">Policy-Guided Schema-Aware Framework for Semi</w:t>
        <w:noBreakHyphen/>
        <w:t xml:space="preserve">Structured Document Information Extraction</w:t>
      </w:r>
    </w:p>
    <w:p>
      <w:pPr>
        <w:sectPr>
          <w:pgSz w:w="12240" w:h="15840" w:orient="portrait"/>
          <w:pgMar w:top="1080" w:right="900" w:bottom="1440" w:left="900" w:header="720" w:footer="720" w:gutter="0"/>
          <w:pgNumType/>
          <w:docGrid w:linePitch="360"/>
        </w:sectPr>
      </w:pPr>
    </w:p>
    <w:p>
      <w:pPr>
        <w:spacing w:after="0"/>
        <w:jc w:val="center"/>
      </w:pPr>
      <w:r>
        <w:rPr>
          <w:sz w:val="22"/>
          <w:szCs w:val="22"/>
        </w:rPr>
        <w:t xml:space="preserve">Ayush Kumar</w:t>
      </w:r>
    </w:p>
    <w:p>
      <w:pPr>
        <w:spacing w:after="0"/>
        <w:jc w:val="center"/>
      </w:pPr>
      <w:r>
        <w:rPr>
          <w:i/>
          <w:iCs/>
          <w:sz w:val="20"/>
          <w:szCs w:val="20"/>
        </w:rPr>
        <w:t xml:space="preserve">School of Computer Science and Engineering (SCOPE)</w:t>
      </w:r>
    </w:p>
    <w:p>
      <w:pPr>
        <w:spacing w:after="0"/>
        <w:jc w:val="center"/>
      </w:pPr>
      <w:r>
        <w:rPr>
          <w:i/>
          <w:iCs/>
          <w:sz w:val="20"/>
          <w:szCs w:val="20"/>
        </w:rPr>
        <w:t xml:space="preserve">Vellore Institute of Technology</w:t>
      </w:r>
    </w:p>
    <w:p>
      <w:pPr>
        <w:spacing w:after="0"/>
        <w:jc w:val="center"/>
      </w:pPr>
      <w:r>
        <w:rPr>
          <w:sz w:val="20"/>
          <w:szCs w:val="20"/>
        </w:rPr>
        <w:t xml:space="preserve">Vellore, India</w:t>
      </w:r>
    </w:p>
    <w:p>
      <w:pPr>
        <w:spacing w:after="0"/>
        <w:jc w:val="center"/>
      </w:pPr>
      <w:r>
        <w:rPr>
          <w:sz w:val="20"/>
          <w:szCs w:val="20"/>
        </w:rPr>
        <w:t xml:space="preserve">ayush.kumar2022a@vitstudent.ac.in</w:t>
      </w:r>
    </w:p>
    <w:p>
      <w:pPr>
        <w:spacing w:after="0"/>
        <w:jc w:val="center"/>
      </w:pPr>
      <w:r>
        <w:br w:type="column"/>
      </w:r>
      <w:r>
        <w:rPr>
          <w:sz w:val="22"/>
          <w:szCs w:val="22"/>
        </w:rPr>
        <w:t xml:space="preserve">Ramesh C</w:t>
      </w:r>
    </w:p>
    <w:p>
      <w:pPr>
        <w:spacing w:after="0"/>
        <w:jc w:val="center"/>
      </w:pPr>
      <w:r>
        <w:rPr>
          <w:i/>
          <w:iCs/>
          <w:sz w:val="20"/>
          <w:szCs w:val="20"/>
        </w:rPr>
        <w:t xml:space="preserve">School of Computer Science and Engineering (SCOPE)</w:t>
      </w:r>
    </w:p>
    <w:p>
      <w:pPr>
        <w:spacing w:after="0"/>
        <w:jc w:val="center"/>
      </w:pPr>
      <w:r>
        <w:rPr>
          <w:i/>
          <w:iCs/>
          <w:sz w:val="20"/>
          <w:szCs w:val="20"/>
        </w:rPr>
        <w:t xml:space="preserve">Vellore Institute of Technology</w:t>
      </w:r>
    </w:p>
    <w:p>
      <w:pPr>
        <w:spacing w:after="0"/>
        <w:jc w:val="center"/>
      </w:pPr>
      <w:r>
        <w:rPr>
          <w:sz w:val="20"/>
          <w:szCs w:val="20"/>
        </w:rPr>
        <w:t xml:space="preserve">Vellore, India</w:t>
      </w:r>
    </w:p>
    <w:p>
      <w:pPr>
        <w:spacing w:after="0"/>
        <w:jc w:val="center"/>
      </w:pPr>
      <w:r>
        <w:rPr>
          <w:sz w:val="20"/>
          <w:szCs w:val="20"/>
        </w:rPr>
        <w:t xml:space="preserve">ramesh.chandran@vit.ac.in</w:t>
      </w:r>
    </w:p>
    <w:p>
      <w:pPr>
        <w:spacing w:after="240"/>
      </w:pPr>
    </w:p>
    <w:p>
      <w:pPr>
        <w:sectPr>
          <w:type w:val="continuous"/>
          <w:pgSz w:w="12240" w:h="15840" w:orient="portrait"/>
          <w:pgMar w:top="1080" w:right="900" w:bottom="1440" w:left="900" w:header="720" w:footer="720" w:gutter="0"/>
          <w:pgNumType/>
          <w:cols w:space="360" w:num="2" w:equalWidth="true"/>
          <w:docGrid w:linePitch="360"/>
        </w:sectPr>
      </w:pPr>
    </w:p>
    <w:p>
      <w:pPr>
        <w:spacing w:after="120"/>
        <w:ind w:firstLine="202"/>
        <w:jc w:val="both"/>
      </w:pPr>
      <w:r>
        <w:rPr>
          <w:b/>
          <w:bCs/>
          <w:i/>
          <w:iCs/>
          <w:sz w:val="18"/>
          <w:szCs w:val="18"/>
        </w:rPr>
        <w:t xml:space="preserve">Abstract</w:t>
      </w:r>
      <w:r>
        <w:rPr>
          <w:b/>
          <w:bCs/>
          <w:sz w:val="18"/>
          <w:szCs w:val="18"/>
        </w:rPr>
        <w:t xml:space="preserve">—</w:t>
      </w:r>
      <w:r>
        <w:rPr>
          <w:rFonts w:ascii="Times New Roman" w:cs="Times New Roman" w:eastAsia="Times New Roman" w:hAnsi="Times New Roman"/>
          <w:b/>
          <w:bCs/>
          <w:sz w:val="18"/>
          <w:szCs w:val="18"/>
        </w:rPr>
        <w:t xml:space="preserve">Semi-structured document extraction involves recognizing structured fields, satisfying schema constraints, and anchoring extracted values to their source-page locations. This paper proposes a schema-aware extraction system that integrates two structurally parallel methodologies-(i) an OCR-free Donut extractor, and (ii) an OCR-grounded large language model (LLM) extractor. A Deterministic Evidence-Based Fusion Policy compares candidate values using cross-field value consistency and evidence grounding to enable reliable selection at response and field granularities. The field schemas are retrieved using an embedding-based registry. In addition, we investigate parameter-efficient fine-tuning of LayoutLMv3, by Low-Rank Adaptation (LoRA) adapters for four document types: receipts, invoices, forms and multi-domain pages. These adapters perturb only a small subset of parameters with respect to the frozen backbone, leading to drastic gains in Macro-F1, with little variance by random seed. The evaluation on SROIE, CORD, and a synthetic multi-page contracts dataset shows the approaches have complementary strengths. Our method is outperforming its component on CORD and comparable or slightly outperforming a strong local VLN model on the contract dataset (but slightly worse on SROIE). Evidence grounding seems to be an essential part of the fusion policy, probably alleviating unsupported/hallucinated values from Donut’s OCR-free extraction.</w:t>
      </w:r>
    </w:p>
    <w:p>
      <w:pPr>
        <w:spacing w:after="120"/>
        <w:ind w:firstLine="202"/>
        <w:jc w:val="both"/>
      </w:pPr>
      <w:r>
        <w:rPr>
          <w:b/>
          <w:bCs/>
          <w:i/>
          <w:iCs/>
          <w:sz w:val="18"/>
          <w:szCs w:val="18"/>
        </w:rPr>
        <w:t xml:space="preserve">Index Terms</w:t>
      </w:r>
      <w:r>
        <w:rPr>
          <w:b/>
          <w:bCs/>
          <w:sz w:val="18"/>
          <w:szCs w:val="18"/>
        </w:rPr>
        <w:t xml:space="preserve">—</w:t>
      </w:r>
      <w:r>
        <w:rPr>
          <w:rFonts w:ascii="Times New Roman" w:cs="Times New Roman" w:eastAsia="Times New Roman" w:hAnsi="Times New Roman"/>
          <w:b/>
          <w:bCs/>
          <w:sz w:val="18"/>
          <w:szCs w:val="18"/>
        </w:rPr>
        <w:t xml:space="preserve">document information extraction, schema-aware extraction, LayoutLMv3, LoRA, semi-structured documents, policy-guided fusion</w:t>
      </w:r>
    </w:p>
    <w:p>
      <w:pPr>
        <w:pStyle w:val="Heading1"/>
      </w:pPr>
      <w:r>
        <w:rPr>
          <w:rFonts w:ascii="Times New Roman" w:cs="Times New Roman" w:eastAsia="Times New Roman" w:hAnsi="Times New Roman"/>
          <w:smallCaps/>
          <w:sz w:val="20"/>
          <w:szCs w:val="20"/>
        </w:rPr>
        <w:t xml:space="preserve">I. Introduction</w:t>
      </w:r>
    </w:p>
    <w:p>
      <w:pPr>
        <w:spacing w:before="0" w:after="0" w:line="240"/>
        <w:ind w:firstLine="288"/>
        <w:jc w:val="both"/>
      </w:pPr>
      <w:r>
        <w:rPr>
          <w:rFonts w:ascii="Times New Roman" w:cs="Times New Roman" w:eastAsia="Times New Roman" w:hAnsi="Times New Roman"/>
          <w:sz w:val="20"/>
          <w:szCs w:val="20"/>
        </w:rPr>
        <w:t xml:space="preserve">Semi-structured documents generated through business processes include receipts, invoices, forms and contracts; they include both structured layouts and natural language. Since each version of a field may appear in different locations depending on vendor and country, using rule-based extraction methods based on positional information does not work when transferring those rules between environments.</w:t>
      </w:r>
    </w:p>
    <w:p>
      <w:pPr>
        <w:spacing w:before="0" w:after="0" w:line="240"/>
        <w:ind w:firstLine="288"/>
        <w:jc w:val="both"/>
      </w:pPr>
      <w:r>
        <w:rPr>
          <w:rFonts w:ascii="Times New Roman" w:cs="Times New Roman" w:eastAsia="Times New Roman" w:hAnsi="Times New Roman"/>
          <w:sz w:val="20"/>
          <w:szCs w:val="20"/>
        </w:rPr>
        <w:t xml:space="preserve">Layout aware models such as LayoutLM [1], LayoutLMv2 [2] and LayoutLMv3 [3], have been used in place of traditional rule-based methods. More recently, OCR free models such as Donut [4], have allowed for extraction of values from a schema provided at run-time without requiring task specific training. However, there is still an issue that none of these models provide an anchor point on the original document. In other words, a well formed response can be returned which will match the required format but actually contains a non-existent value. Additionally, since a single model call will return all possible responses, the caller has no way to determine how or where a particular response came from.</w:t>
      </w:r>
    </w:p>
    <w:p>
      <w:pPr>
        <w:spacing w:before="0" w:after="0" w:line="240"/>
        <w:ind w:firstLine="288"/>
        <w:jc w:val="both"/>
      </w:pPr>
      <w:r>
        <w:rPr>
          <w:rFonts w:ascii="Times New Roman" w:cs="Times New Roman" w:eastAsia="Times New Roman" w:hAnsi="Times New Roman"/>
          <w:sz w:val="20"/>
          <w:szCs w:val="20"/>
        </w:rPr>
        <w:t xml:space="preserve">To help address this we developed a framework that views extraction as a reconciliation process. Our framework uses two complimentary extractors running in parallel, one extractor is based on an OCR free Donut branch, and the second is based on an LLM/OCR branch that provides a fall-back to a VLM for missing values. A deterministic policy is then applied to make a decision regarding every field. This decision is made based upon evidence: Does the extracted value have a basis in the OCR text? Is the extracted value consistent with the expected data-type for the field? Has the same extracted value been reused across multiple fields? Is the extracted value physically located within the location designated for the field. Never is model confidence utilized as part of making a decision about a field. Both the decision and the justification behind that decision are recorded as metadata for each field,therefore every produced output value can be audited.</w:t>
      </w:r>
    </w:p>
    <w:p>
      <w:pPr>
        <w:spacing w:before="0" w:after="0" w:line="240"/>
        <w:ind w:firstLine="288"/>
        <w:jc w:val="both"/>
      </w:pPr>
      <w:r>
        <w:rPr>
          <w:rFonts w:ascii="Times New Roman" w:cs="Times New Roman" w:eastAsia="Times New Roman" w:hAnsi="Times New Roman"/>
          <w:sz w:val="20"/>
          <w:szCs w:val="20"/>
        </w:rPr>
        <w:t xml:space="preserve">In this paper we have introduced a field-level fusion policy to generate results without OCR, using text as established by OCR and with an audit trail for each field extracted. Style specific LoRA adapters for LayoutLMv3 (via a unified six-class layout labeling scheme) are used for the policy and trained to output the correct class with a potential macro-F1 improvement of up to 0.19 (during testing), updating only 0.94% of the parameters in the frozen model. We also propose an embedding-based schema registry for eliciting and filtering out document types unknown to the registry from the set of examples to query the schema agent, likely avoiding wrong schema prediction. We perform an extensive evaluation of the system using the SROIE and CORD datasets, as well as a randomly generated multi-page dataset, using a locally deployed 7B VLM and measuring ablations, rule-by-rule error analysis and latency.</w:t>
      </w:r>
    </w:p>
    <w:p>
      <w:pPr>
        <w:pStyle w:val="Heading1"/>
      </w:pPr>
      <w:r>
        <w:rPr>
          <w:rFonts w:ascii="Times New Roman" w:cs="Times New Roman" w:eastAsia="Times New Roman" w:hAnsi="Times New Roman"/>
          <w:smallCaps/>
          <w:sz w:val="20"/>
          <w:szCs w:val="20"/>
        </w:rPr>
        <w:t xml:space="preserve">II. Related Work</w:t>
      </w:r>
    </w:p>
    <w:p>
      <w:pPr>
        <w:pStyle w:val="Heading2"/>
      </w:pPr>
      <w:r>
        <w:rPr>
          <w:rFonts w:ascii="Times New Roman" w:cs="Times New Roman" w:eastAsia="Times New Roman" w:hAnsi="Times New Roman"/>
          <w:i/>
          <w:iCs/>
          <w:sz w:val="20"/>
          <w:szCs w:val="20"/>
        </w:rPr>
        <w:t xml:space="preserve">A. Rule-Based and Template Extraction</w:t>
      </w:r>
    </w:p>
    <w:p>
      <w:pPr>
        <w:spacing w:before="0" w:after="0" w:line="240"/>
        <w:ind w:firstLine="288"/>
        <w:jc w:val="both"/>
      </w:pPr>
      <w:r>
        <w:rPr>
          <w:rFonts w:ascii="Times New Roman" w:cs="Times New Roman" w:eastAsia="Times New Roman" w:hAnsi="Times New Roman"/>
          <w:sz w:val="20"/>
          <w:szCs w:val="20"/>
        </w:rPr>
        <w:t xml:space="preserve">Early document extraction systems used to use hand written rules, regex and template based approaches which were tied to specific locations within pages. Declarative rule-based engines continue to be widely used by commercial vendors (due to their deterministic and explainable nature) [5], however, there is a need to continually develop new rules for new layouts and/or new versions of documents. As this creates additional costs through increased numbers of templates our rule-based approach maintains the determinism of declarative rule-based engines while applying these to the output of trainable extractor algorithms instead of directly to page location coordinates.</w:t>
      </w:r>
    </w:p>
    <w:p>
      <w:pPr>
        <w:pStyle w:val="Heading2"/>
      </w:pPr>
      <w:r>
        <w:rPr>
          <w:rFonts w:ascii="Times New Roman" w:cs="Times New Roman" w:eastAsia="Times New Roman" w:hAnsi="Times New Roman"/>
          <w:i/>
          <w:iCs/>
          <w:sz w:val="20"/>
          <w:szCs w:val="20"/>
        </w:rPr>
        <w:t xml:space="preserve">B. Layout-Aware Pre-Trained Models</w:t>
      </w:r>
    </w:p>
    <w:p>
      <w:pPr>
        <w:spacing w:before="0" w:after="0" w:line="240"/>
        <w:ind w:firstLine="288"/>
        <w:jc w:val="both"/>
      </w:pPr>
      <w:r>
        <w:rPr>
          <w:rFonts w:ascii="Times New Roman" w:cs="Times New Roman" w:eastAsia="Times New Roman" w:hAnsi="Times New Roman"/>
          <w:sz w:val="20"/>
          <w:szCs w:val="20"/>
        </w:rPr>
        <w:t xml:space="preserve">LayoutLM [1] utilizes two dimensional position encoding of OCR tokens and adds it to a BERT style neural network encoder; LayoutLM v2 [2] includes additional visual features and spatially-aware self-attention mechanisms; LayoutLM v3 [3] incorporates both text-image masking and replaces the CNN backbone with linear patch embedding; BROS [6] encodes relative positioning of text blocks; LiLT [7] decouples a language independent layout stream into a separate layer from the various text encoding layers allowing for flexibility in combining different types of text encoders; GeoLayoutLM [8] provides geometric pretraining for extracting relations. Additionally, FormNet [9] provides a method to model explicit label-value structure utilizing graph convolutional networks and rich attention mechanisms to restore structural information when transforming a structured format document into a serialized flat-file format.</w:t>
      </w:r>
    </w:p>
    <w:p>
      <w:pPr>
        <w:spacing w:before="0" w:after="0" w:line="240"/>
        <w:ind w:firstLine="288"/>
        <w:jc w:val="both"/>
      </w:pPr>
      <w:r>
        <w:rPr>
          <w:rFonts w:ascii="Times New Roman" w:cs="Times New Roman" w:eastAsia="Times New Roman" w:hAnsi="Times New Roman"/>
          <w:sz w:val="20"/>
          <w:szCs w:val="20"/>
        </w:rPr>
        <w:t xml:space="preserve">All of these models have been trained on datasets including FUNSD [10] for forms and CORD [11], SROIE [12] for receipts, along with regional level corpora like DocLayNet [13]. Each of these models depends upon an Optical Character Recognition (OCR) engine (such as Tesseract [14]) which inherits its accuracy limitations. The addition of a task-specific classification head requires new training data for each unique document schema.</w:t>
      </w:r>
    </w:p>
    <w:p>
      <w:pPr>
        <w:pStyle w:val="Heading2"/>
      </w:pPr>
      <w:r>
        <w:rPr>
          <w:rFonts w:ascii="Times New Roman" w:cs="Times New Roman" w:eastAsia="Times New Roman" w:hAnsi="Times New Roman"/>
          <w:i/>
          <w:iCs/>
          <w:sz w:val="20"/>
          <w:szCs w:val="20"/>
        </w:rPr>
        <w:t xml:space="preserve">C. OCR-Free and Generative Document Models</w:t>
      </w:r>
    </w:p>
    <w:p>
      <w:pPr>
        <w:spacing w:before="0" w:after="0" w:line="240"/>
        <w:ind w:firstLine="288"/>
        <w:jc w:val="both"/>
      </w:pPr>
      <w:r>
        <w:rPr>
          <w:rFonts w:ascii="Times New Roman" w:cs="Times New Roman" w:eastAsia="Times New Roman" w:hAnsi="Times New Roman"/>
          <w:sz w:val="20"/>
          <w:szCs w:val="20"/>
        </w:rPr>
        <w:t xml:space="preserve">Models like Donut [4] and Pix2Struct [15] do not have an OCR step in them because they both get the information from the image instead. However, when you run those models through your data they will produce whatever text they think should go there even if it wasn’t on the actual document.</w:t>
      </w:r>
    </w:p>
    <w:p>
      <w:pPr>
        <w:pStyle w:val="Heading2"/>
      </w:pPr>
      <w:r>
        <w:rPr>
          <w:rFonts w:ascii="Times New Roman" w:cs="Times New Roman" w:eastAsia="Times New Roman" w:hAnsi="Times New Roman"/>
          <w:i/>
          <w:iCs/>
          <w:sz w:val="20"/>
          <w:szCs w:val="20"/>
        </w:rPr>
        <w:t xml:space="preserve">D. LLM and VLM Extraction</w:t>
      </w:r>
    </w:p>
    <w:p>
      <w:pPr>
        <w:spacing w:before="0" w:after="0" w:line="240"/>
        <w:ind w:firstLine="288"/>
        <w:jc w:val="both"/>
      </w:pPr>
      <w:r>
        <w:rPr>
          <w:rFonts w:ascii="Times New Roman" w:cs="Times New Roman" w:eastAsia="Times New Roman" w:hAnsi="Times New Roman"/>
          <w:sz w:val="20"/>
          <w:szCs w:val="20"/>
        </w:rPr>
        <w:t xml:space="preserve">Large language models (LLMs) don’t require a lot of annotation to find out what entities and fields exist in a given piece of text. For example, GPT-NER [16] takes traditional sequence labelling tasks (like identifying names or locations in a sentence), and turns them into text generation. In regards to documents, typically the OCR text is fed into LLMs as a prompt. This eliminates all the layout of the original document, and only allows for short single pages of documents to be inputted. That leaves large, multi-page documents still as challenging as ever. There are a few exceptions though such as CUAD [17], which has clause level annotations for contracts, and Kleister [18], which uses key-information labels for long documents with many complexities.</w:t>
      </w:r>
    </w:p>
    <w:p>
      <w:pPr>
        <w:spacing w:before="0" w:after="0" w:line="240"/>
        <w:ind w:firstLine="288"/>
        <w:jc w:val="both"/>
      </w:pPr>
      <w:r>
        <w:rPr>
          <w:rFonts w:ascii="Times New Roman" w:cs="Times New Roman" w:eastAsia="Times New Roman" w:hAnsi="Times New Roman"/>
          <w:sz w:val="20"/>
          <w:szCs w:val="20"/>
        </w:rPr>
        <w:t xml:space="preserve">Agentic methods like ReAct [19] allow the model to perform a chain of “thinking” then “doing” and to update intermediate outputs, which might allow it to correct errors. But a chain of single-model calls produces an answer that cannot be easily understood in terms of its final value and reasoning that led to it. VLMs, like Qwen2.5-VL [20] on the page image and target output schema are reasonable single-call extractors for receipts, but they only produce a single output call that yields one value per field, no record of how that output was arrived at, and no accounting for the differences among alternative readings of the page. In this sense, the local VLM is both the baseline and the vision fallback in the OCR-LLM branch.</w:t>
      </w:r>
    </w:p>
    <w:p>
      <w:pPr>
        <w:pStyle w:val="Heading2"/>
      </w:pPr>
      <w:r>
        <w:rPr>
          <w:rFonts w:ascii="Times New Roman" w:cs="Times New Roman" w:eastAsia="Times New Roman" w:hAnsi="Times New Roman"/>
          <w:i/>
          <w:iCs/>
          <w:sz w:val="20"/>
          <w:szCs w:val="20"/>
        </w:rPr>
        <w:t xml:space="preserve">E. Combining Multiple Extractors</w:t>
      </w:r>
    </w:p>
    <w:p>
      <w:pPr>
        <w:spacing w:before="0" w:after="0" w:line="240"/>
        <w:ind w:firstLine="288"/>
        <w:jc w:val="both"/>
      </w:pPr>
      <w:r>
        <w:rPr>
          <w:rFonts w:ascii="Times New Roman" w:cs="Times New Roman" w:eastAsia="Times New Roman" w:hAnsi="Times New Roman"/>
          <w:sz w:val="20"/>
          <w:szCs w:val="20"/>
        </w:rPr>
        <w:t xml:space="preserve">Combining outputs from multiple systems is a well studied paradigm, as exemplified by ROVER [21] which matches the output of multiple speech recognition systems and then runs a voting scheme per word (with weights based on confidence if available). Such mechanisms generally assume that the rankers are of roughly equal quality or calibrated scores. These assumptions do not hold for the OCR-free generator, which makes errors different from the OCR-text extractor and which does not have usable confidence measures [22]. The audit record of the relative performance of the fuse and rule-based extractor is similar to a line of work on data provenance, which is concerned with the space between “the reason why a value appears in the output, and the reason why this value was output” [23].</w:t>
      </w:r>
    </w:p>
    <w:p>
      <w:pPr>
        <w:pStyle w:val="Heading2"/>
      </w:pPr>
      <w:r>
        <w:rPr>
          <w:rFonts w:ascii="Times New Roman" w:cs="Times New Roman" w:eastAsia="Times New Roman" w:hAnsi="Times New Roman"/>
          <w:i/>
          <w:iCs/>
          <w:sz w:val="20"/>
          <w:szCs w:val="20"/>
        </w:rPr>
        <w:t xml:space="preserve">F. Schema Matching and Retrieval</w:t>
      </w:r>
    </w:p>
    <w:p>
      <w:pPr>
        <w:spacing w:before="0" w:after="0" w:line="240"/>
        <w:ind w:firstLine="288"/>
        <w:jc w:val="both"/>
      </w:pPr>
      <w:r>
        <w:rPr>
          <w:rFonts w:ascii="Times New Roman" w:cs="Times New Roman" w:eastAsia="Times New Roman" w:hAnsi="Times New Roman"/>
          <w:sz w:val="20"/>
          <w:szCs w:val="20"/>
        </w:rPr>
        <w:t xml:space="preserve">Matching of an incoming set of fields to a known schema is a classical task of database systems. Rahm and Bernstein [24] distinguish matchers based on whether they rely on the element names, on instances, or structure, and how multiple matchers are combined. Embedding methods such as Sentence-BERT [25] enables to measure the similarity of element descriptions and element names in a common space using cosine similarity. This seems to be a reasonable approach to schemas for which field names are source-specific. Document extraction systems, however, usually assume a fixed schema for each model, and do not evaluate schema matching based on whether it can turn away unknown document types.</w:t>
      </w:r>
    </w:p>
    <w:p>
      <w:pPr>
        <w:pStyle w:val="Heading2"/>
      </w:pPr>
      <w:r>
        <w:rPr>
          <w:rFonts w:ascii="Times New Roman" w:cs="Times New Roman" w:eastAsia="Times New Roman" w:hAnsi="Times New Roman"/>
          <w:i/>
          <w:iCs/>
          <w:sz w:val="20"/>
          <w:szCs w:val="20"/>
        </w:rPr>
        <w:t xml:space="preserve">G. Parameter-Efficient Adaptation</w:t>
      </w:r>
    </w:p>
    <w:p>
      <w:pPr>
        <w:spacing w:before="0" w:after="0" w:line="240"/>
        <w:ind w:firstLine="288"/>
        <w:jc w:val="both"/>
      </w:pPr>
      <w:r>
        <w:rPr>
          <w:rFonts w:ascii="Times New Roman" w:cs="Times New Roman" w:eastAsia="Times New Roman" w:hAnsi="Times New Roman"/>
          <w:sz w:val="20"/>
          <w:szCs w:val="20"/>
        </w:rPr>
        <w:t xml:space="preserve">Adapters [26] insert small trainable bottleneck modules inside a frozen network, while LoRA [27] learns low-rank modifications to attention matrices to be inserted into a frozen pre-trained model after training. Both methods have been mostly studied in language models. Their study on layout-aware document encoders in documents of different styles and multiple label spaces, for which a single frozen base feeds multiple style-specific adapters, has been limited.</w:t>
      </w:r>
    </w:p>
    <w:p>
      <w:pPr>
        <w:pStyle w:val="Heading1"/>
      </w:pPr>
      <w:r>
        <w:rPr>
          <w:rFonts w:ascii="Times New Roman" w:cs="Times New Roman" w:eastAsia="Times New Roman" w:hAnsi="Times New Roman"/>
          <w:smallCaps/>
          <w:sz w:val="20"/>
          <w:szCs w:val="20"/>
        </w:rPr>
        <w:t xml:space="preserve">III. Identified Gaps and Problem Statement</w:t>
      </w:r>
    </w:p>
    <w:p>
      <w:pPr>
        <w:pStyle w:val="Heading2"/>
      </w:pPr>
      <w:r>
        <w:rPr>
          <w:rFonts w:ascii="Times New Roman" w:cs="Times New Roman" w:eastAsia="Times New Roman" w:hAnsi="Times New Roman"/>
          <w:i/>
          <w:iCs/>
          <w:sz w:val="20"/>
          <w:szCs w:val="20"/>
        </w:rPr>
        <w:t xml:space="preserve">A. Identified Gaps</w:t>
      </w:r>
    </w:p>
    <w:p>
      <w:pPr>
        <w:spacing w:before="0" w:after="0" w:line="240"/>
        <w:ind w:firstLine="288"/>
        <w:jc w:val="both"/>
      </w:pPr>
      <w:r>
        <w:rPr>
          <w:rFonts w:ascii="Times New Roman" w:cs="Times New Roman" w:eastAsia="Times New Roman" w:hAnsi="Times New Roman"/>
          <w:sz w:val="20"/>
          <w:szCs w:val="20"/>
        </w:rPr>
        <w:t xml:space="preserve">Types of information extraction tools like layout-aware, OCR-free, and generative, have previously been analyzed independently. When these three models were used together as part of an overall pipeline, researchers typically relied on either “voting” or “confidence-weighted” models to determine when to trust one model over another. The issue is that OCR-free models do not generate “scores” for their predictions in the same way that other models do. Researchers have also historically compared the output of OCR-free models to the OCR-based versions of the same document – and tracked what portion of the document was extracted by which extractor – but this has rarely been documented in prior research. In terms of how data extraction pipelines process documents at runtime, there has historically been little attention paid to schema inference or validation on unseen document formats – nor to evaluating the performance of such pipelines against a baseline metric involving a single invocation of a Vision-Language Model (VLM) per page.</w:t>
      </w:r>
    </w:p>
    <w:p>
      <w:pPr>
        <w:pStyle w:val="Heading2"/>
      </w:pPr>
      <w:r>
        <w:rPr>
          <w:rFonts w:ascii="Times New Roman" w:cs="Times New Roman" w:eastAsia="Times New Roman" w:hAnsi="Times New Roman"/>
          <w:i/>
          <w:iCs/>
          <w:sz w:val="20"/>
          <w:szCs w:val="20"/>
        </w:rPr>
        <w:t xml:space="preserve">B. Problem Statement</w:t>
      </w:r>
    </w:p>
    <w:p>
      <w:pPr>
        <w:spacing w:before="0" w:after="0" w:line="240"/>
        <w:ind w:firstLine="288"/>
        <w:jc w:val="both"/>
      </w:pPr>
      <w:r>
        <w:rPr>
          <w:rFonts w:ascii="Times New Roman" w:cs="Times New Roman" w:eastAsia="Times New Roman" w:hAnsi="Times New Roman"/>
          <w:sz w:val="20"/>
          <w:szCs w:val="20"/>
        </w:rPr>
        <w:t xml:space="preserve">Input. Document D as a PDF input that is segmented into blocks of either native or OCR text B. Typed fields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through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sz w:val="20"/>
          <w:szCs w:val="20"/>
        </w:rPr>
        <w:t xml:space="preserve"> comprising of constraints - provided or (inferred if absent) retrieved from a registry ℛ of constraints. Output. For each field, a value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(or null); a confidence level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 [0,1]; and an audit log entry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Each value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will correspond to some block within D; satisfy all constraints associated with it (and include a flag indicating whether or not it does so); be determined deterministically based upon the output of a particular path through a branch; and if necessary, be generated using vision fallback.</w:t>
      </w:r>
    </w:p>
    <w:p>
      <w:pPr>
        <w:pStyle w:val="Heading1"/>
      </w:pPr>
      <w:r>
        <w:rPr>
          <w:rFonts w:ascii="Times New Roman" w:cs="Times New Roman" w:eastAsia="Times New Roman" w:hAnsi="Times New Roman"/>
          <w:smallCaps/>
          <w:sz w:val="20"/>
          <w:szCs w:val="20"/>
        </w:rPr>
        <w:t xml:space="preserve">IV. System Architecture and Methodology</w:t>
      </w:r>
    </w:p>
    <w:p>
      <w:pPr>
        <w:spacing w:before="0" w:after="0" w:line="240"/>
        <w:ind w:firstLine="288"/>
        <w:jc w:val="both"/>
      </w:pPr>
      <w:r>
        <w:rPr>
          <w:rFonts w:ascii="Times New Roman" w:cs="Times New Roman" w:eastAsia="Times New Roman" w:hAnsi="Times New Roman"/>
          <w:b/>
          <w:bCs/>
          <w:sz w:val="20"/>
          <w:szCs w:val="20"/>
        </w:rPr>
        <w:t xml:space="preserve">Orchestration.</w:t>
      </w:r>
      <w:r>
        <w:rPr>
          <w:rFonts w:ascii="Times New Roman" w:cs="Times New Roman" w:eastAsia="Times New Roman" w:hAnsi="Times New Roman"/>
          <w:sz w:val="20"/>
          <w:szCs w:val="20"/>
        </w:rPr>
        <w:t xml:space="preserve"> Eight stages depicted in Fig. 1. The first stage (ingestion) populates stage 1. Stage 1 is for choosing the LoRA layout adapter (dashed). The two parallel branches of extraction in stage 2 are merged at stage 3. All the stages share a state (document blocks, rendered page images, chosen adapter, extraction bundle for both branches, fused fields and their audit, schema resolved, validation results, storage key, errors accumulated). Stages manage their own exceptions. Therefore, if one of the stages fails, the state for later stages remains partial. Adapters group choice is made according to the identified/retrieved schema name. The adapters assign a label to the layout areas. Field extractors use spatial info directly from the OCR bounding boxes.</w:t>
      </w:r>
    </w:p>
    <w:p>
      <w:pPr>
        <w:pStyle w:val="Heading2"/>
      </w:pPr>
      <w:r>
        <w:rPr>
          <w:rFonts w:ascii="Times New Roman" w:cs="Times New Roman" w:eastAsia="Times New Roman" w:hAnsi="Times New Roman"/>
          <w:i/>
          <w:iCs/>
          <w:sz w:val="20"/>
          <w:szCs w:val="20"/>
        </w:rPr>
        <w:t xml:space="preserve">A. Document Ingestion with OCR Fallback</w:t>
      </w:r>
    </w:p>
    <w:p>
      <w:pPr>
        <w:spacing w:before="0" w:after="0" w:line="240"/>
        <w:ind w:firstLine="288"/>
        <w:jc w:val="both"/>
      </w:pPr>
      <w:r>
        <w:rPr>
          <w:rFonts w:ascii="Times New Roman" w:cs="Times New Roman" w:eastAsia="Times New Roman" w:hAnsi="Times New Roman"/>
          <w:sz w:val="20"/>
          <w:szCs w:val="20"/>
        </w:rPr>
        <w:t xml:space="preserve">The ingestion phase converts the PDF into blocks (with page number, text, bounding box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confidence and a tag (source, native or OCR)). Text reading is performed using PyMuPDF. Page with less than 20 characters or 5 words are rendered (at 2× and halved if over 5000 pixels) to feed Tesseract. Word level confidences are stored for fusion layer.</w:t>
      </w:r>
    </w:p>
    <w:p>
      <w:pPr>
        <w:pStyle w:val="Heading2"/>
      </w:pPr>
      <w:r>
        <w:rPr>
          <w:rFonts w:ascii="Times New Roman" w:cs="Times New Roman" w:eastAsia="Times New Roman" w:hAnsi="Times New Roman"/>
          <w:i/>
          <w:iCs/>
          <w:sz w:val="20"/>
          <w:szCs w:val="20"/>
        </w:rPr>
        <w:t xml:space="preserve">B. Parallel Extraction</w:t>
      </w:r>
    </w:p>
    <w:p>
      <w:pPr>
        <w:spacing w:before="0" w:after="0" w:line="240"/>
        <w:ind w:firstLine="288"/>
        <w:jc w:val="both"/>
      </w:pPr>
      <w:r>
        <w:rPr>
          <w:rFonts w:ascii="Times New Roman" w:cs="Times New Roman" w:eastAsia="Times New Roman" w:hAnsi="Times New Roman"/>
          <w:sz w:val="20"/>
          <w:szCs w:val="20"/>
        </w:rPr>
        <w:t xml:space="preserve">Donut and OCR-LLM extractors are executed on two threads of workers and output (for each field) value, conf and spatial metadata.</w:t>
      </w:r>
    </w:p>
    <w:p>
      <w:pPr>
        <w:spacing w:before="0" w:after="0" w:line="240"/>
        <w:ind w:firstLine="288"/>
        <w:jc w:val="both"/>
      </w:pPr>
      <w:r>
        <w:rPr>
          <w:rFonts w:ascii="Times New Roman" w:cs="Times New Roman" w:eastAsia="Times New Roman" w:hAnsi="Times New Roman"/>
          <w:b/>
          <w:bCs/>
          <w:sz w:val="20"/>
          <w:szCs w:val="20"/>
        </w:rPr>
        <w:t xml:space="preserve">Donut branch.</w:t>
      </w:r>
      <w:r>
        <w:rPr>
          <w:rFonts w:ascii="Times New Roman" w:cs="Times New Roman" w:eastAsia="Times New Roman" w:hAnsi="Times New Roman"/>
          <w:sz w:val="20"/>
          <w:szCs w:val="20"/>
        </w:rPr>
        <w:t xml:space="preserve"> Each field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is posed as a question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derived from its description (e.g., “What is the invoice date?”), giving answer</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 Donut(image,</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with confidence</w:t>
      </w:r>
    </w:p>
    <w:p>
      <w:pPr>
        <w:spacing w:before="120" w:after="120"/>
      </w:pPr>
      <m:oMathPara>
        <m:oMath>
          <m:eqArr>
            <m:eqArrPr>
              <m:maxDist m:val="1"/>
            </m:eqArrPr>
            <m:e>
              <m:sSubSup>
                <m:e>
                  <m:r>
                    <w:rPr>
                      <w:rFonts w:ascii="Cambria Math" w:hAnsi="Cambria Math"/>
                      <w:sz w:val="20"/>
                    </w:rPr>
                    <m:t>c</m:t>
                  </m:r>
                </m:e>
                <m:sub>
                  <m:r>
                    <w:rPr>
                      <w:rFonts w:ascii="Cambria Math" w:hAnsi="Cambria Math"/>
                      <w:sz w:val="20"/>
                    </w:rPr>
                    <m:t>i</m:t>
                  </m:r>
                </m:sub>
                <m:sup>
                  <m:r>
                    <m:rPr>
                      <m:sty m:val="p"/>
                    </m:rPr>
                    <w:rPr>
                      <w:rFonts w:ascii="Cambria Math" w:hAnsi="Cambria Math"/>
                      <w:sz w:val="20"/>
                    </w:rPr>
                    <m:t>donut</m:t>
                  </m:r>
                </m:sup>
              </m:sSubSup>
              <m:r>
                <w:rPr>
                  <w:rFonts w:ascii="Cambria Math" w:hAnsi="Cambria Math"/>
                  <w:sz w:val="20"/>
                </w:rPr>
                <m:t>=</m:t>
              </m:r>
              <m:f>
                <m:num>
                  <m:r>
                    <w:rPr>
                      <w:rFonts w:ascii="Cambria Math" w:hAnsi="Cambria Math"/>
                      <w:sz w:val="20"/>
                    </w:rPr>
                    <m:t>1</m:t>
                  </m:r>
                </m:num>
                <m:den>
                  <m:r>
                    <w:rPr>
                      <w:rFonts w:ascii="Cambria Math" w:hAnsi="Cambria Math"/>
                      <w:sz w:val="20"/>
                    </w:rPr>
                    <m:t>T</m:t>
                  </m:r>
                </m:den>
              </m:f>
              <m:nary>
                <m:naryPr>
                  <m:chr m:val="∑"/>
                  <m:limLoc m:val="undOvr"/>
                </m:naryPr>
                <m:sub>
                  <m:r>
                    <w:rPr>
                      <w:rFonts w:ascii="Cambria Math" w:hAnsi="Cambria Math"/>
                      <w:sz w:val="20"/>
                    </w:rPr>
                    <m:t>t=1</m:t>
                  </m:r>
                </m:sub>
                <m:sup>
                  <m:r>
                    <w:rPr>
                      <w:rFonts w:ascii="Cambria Math" w:hAnsi="Cambria Math"/>
                      <w:sz w:val="20"/>
                    </w:rPr>
                    <m:t>T</m:t>
                  </m:r>
                </m:sup>
                <m:e>
                  <m:func>
                    <m:fName>
                      <m:limLow>
                        <m:e>
                          <m:r>
                            <m:rPr>
                              <m:sty m:val="p"/>
                            </m:rPr>
                            <w:rPr>
                              <w:rFonts w:ascii="Cambria Math" w:hAnsi="Cambria Math"/>
                              <w:sz w:val="20"/>
                            </w:rPr>
                            <m:t>max</m:t>
                          </m:r>
                        </m:e>
                        <m:lim>
                          <m:r>
                            <w:rPr>
                              <w:rFonts w:ascii="Cambria Math" w:hAnsi="Cambria Math"/>
                              <w:sz w:val="20"/>
                            </w:rPr>
                            <m:t>v</m:t>
                          </m:r>
                        </m:lim>
                      </m:limLow>
                    </m:fName>
                    <m:e>
                      <m:r>
                        <m:rPr>
                          <m:sty m:val="p"/>
                        </m:rPr>
                        <w:rPr>
                          <w:rFonts w:ascii="Cambria Math" w:hAnsi="Cambria Math"/>
                          <w:sz w:val="20"/>
                        </w:rPr>
                        <m:t>softmax</m:t>
                      </m:r>
                      <m:sSub>
                        <m:e>
                          <m:d>
                            <m:e>
                              <m:sSub>
                                <m:e>
                                  <m:r>
                                    <w:rPr>
                                      <w:rFonts w:ascii="Cambria Math" w:hAnsi="Cambria Math"/>
                                      <w:sz w:val="20"/>
                                    </w:rPr>
                                    <m:t>s</m:t>
                                  </m:r>
                                </m:e>
                                <m:sub>
                                  <m:r>
                                    <w:rPr>
                                      <w:rFonts w:ascii="Cambria Math" w:hAnsi="Cambria Math"/>
                                      <w:sz w:val="20"/>
                                    </w:rPr>
                                    <m:t>t</m:t>
                                  </m:r>
                                </m:sub>
                              </m:sSub>
                            </m:e>
                          </m:d>
                        </m:e>
                        <m:sub>
                          <m:r>
                            <w:rPr>
                              <w:rFonts w:ascii="Cambria Math" w:hAnsi="Cambria Math"/>
                              <w:sz w:val="20"/>
                            </w:rPr>
                            <m:t>v</m:t>
                          </m:r>
                        </m:sub>
                      </m:sSub>
                    </m:e>
                  </m:func>
                </m:e>
              </m:nary>
              <m:r>
                <w:rPr>
                  <w:rFonts w:ascii="Cambria Math" w:hAnsi="Cambria Math"/>
                  <w:sz w:val="20"/>
                </w:rPr>
                <m:t>,</m:t>
              </m:r>
              <m:r>
                <w:rPr>
                  <w:rFonts w:ascii="Cambria Math" w:hAnsi="Cambria Math"/>
                  <w:sz w:val="20"/>
                </w:rPr>
                <m:t>#</m:t>
              </m:r>
              <m:d>
                <m:e>
                  <m:r>
                    <w:rPr>
                      <w:rFonts w:ascii="Cambria Math" w:hAnsi="Cambria Math"/>
                      <w:sz w:val="20"/>
                    </w:rPr>
                    <m:t>1</m:t>
                  </m:r>
                </m:e>
              </m:d>
            </m:e>
          </m:eqArr>
        </m:oMath>
      </m:oMathPara>
    </w:p>
    <w:p>
      <w:pPr>
        <w:spacing w:before="0" w:after="0" w:line="240"/>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is the logit vector at generation step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of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Weights are loaded lazily on first use.</w:t>
      </w:r>
    </w:p>
    <w:p>
      <w:pPr>
        <w:spacing w:before="0" w:after="0" w:line="240"/>
        <w:ind w:firstLine="288"/>
        <w:jc w:val="both"/>
      </w:pPr>
      <w:r>
        <w:rPr>
          <w:rFonts w:ascii="Times New Roman" w:cs="Times New Roman" w:eastAsia="Times New Roman" w:hAnsi="Times New Roman"/>
          <w:b/>
          <w:bCs/>
          <w:sz w:val="20"/>
          <w:szCs w:val="20"/>
        </w:rPr>
        <w:t xml:space="preserve">OCR-LLM branch.</w:t>
      </w:r>
      <w:r>
        <w:rPr>
          <w:rFonts w:ascii="Times New Roman" w:cs="Times New Roman" w:eastAsia="Times New Roman" w:hAnsi="Times New Roman"/>
          <w:sz w:val="20"/>
          <w:szCs w:val="20"/>
        </w:rPr>
        <w:t xml:space="preserve"> Text LLM takes the first 4000 characters of the document and all the fields descriptions and produces the JSON extraction. For each empty field, page image is sent to VLM along with the field. To extract fields that rely on the image: stamps, tables, signature, etc. Extracted values are associated to the OCR blocks to get bounding boxes.</w:t>
      </w:r>
    </w:p>
    <w:p>
      <w:pPr>
        <w:keepNext/>
        <w:keepLines/>
        <w:spacing w:before="120" w:after="60"/>
        <w:jc w:val="center"/>
      </w:pPr>
      <w:r>
        <w:drawing>
          <wp:inline distT="0" distB="0" distL="0" distR="0">
            <wp:extent cx="2752725"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52725" cy="5362575"/>
                    </a:xfrm>
                    <a:prstGeom prst="rect">
                      <a:avLst/>
                    </a:prstGeom>
                  </pic:spPr>
                </pic:pic>
              </a:graphicData>
            </a:graphic>
          </wp:inline>
        </w:drawing>
      </w:r>
    </w:p>
    <w:p>
      <w:pPr>
        <w:pStyle w:val="NoHyph"/>
        <w:spacing w:before="0" w:after="2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Pipeline architecture: ingestion, the eight orchestrator stages and the two parallel extraction branches.</w:t>
      </w:r>
    </w:p>
    <w:p>
      <w:pPr>
        <w:pStyle w:val="Heading2"/>
      </w:pPr>
      <w:r>
        <w:rPr>
          <w:rFonts w:ascii="Times New Roman" w:cs="Times New Roman" w:eastAsia="Times New Roman" w:hAnsi="Times New Roman"/>
          <w:i/>
          <w:iCs/>
          <w:sz w:val="20"/>
          <w:szCs w:val="20"/>
        </w:rPr>
        <w:t xml:space="preserve">C. Evidence-Based Policy Fusion</w:t>
      </w:r>
    </w:p>
    <w:p>
      <w:pPr>
        <w:spacing w:before="0" w:after="0" w:line="240"/>
        <w:ind w:firstLine="288"/>
        <w:jc w:val="both"/>
      </w:pPr>
      <w:r>
        <w:rPr>
          <w:rFonts w:ascii="Times New Roman" w:cs="Times New Roman" w:eastAsia="Times New Roman" w:hAnsi="Times New Roman"/>
          <w:sz w:val="20"/>
          <w:szCs w:val="20"/>
        </w:rPr>
        <w:t xml:space="preserve">The calibration of token probabilities in Donut seems quite poor, with plausible and implausible answers having a similarly narrow range of probabilities (0.9-1.0). As a result, the fusion process is based on evidential considerations, where confidence is simply a low threshold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sz w:val="20"/>
          <w:szCs w:val="20"/>
        </w:rPr>
        <w:t xml:space="preserve">, beneath which one value is rejected.</w:t>
      </w:r>
    </w:p>
    <w:p>
      <w:pPr>
        <w:spacing w:before="0" w:after="0" w:line="240"/>
        <w:ind w:firstLine="288"/>
        <w:jc w:val="both"/>
      </w:pPr>
      <w:r>
        <w:rPr>
          <w:rFonts w:ascii="Times New Roman" w:cs="Times New Roman" w:eastAsia="Times New Roman" w:hAnsi="Times New Roman"/>
          <w:b/>
          <w:bCs/>
          <w:sz w:val="20"/>
          <w:szCs w:val="20"/>
        </w:rPr>
        <w:t xml:space="preserve">Grounding.</w:t>
      </w:r>
      <w:r>
        <w:rPr>
          <w:rFonts w:ascii="Times New Roman" w:cs="Times New Roman" w:eastAsia="Times New Roman" w:hAnsi="Times New Roman"/>
          <w:sz w:val="20"/>
          <w:szCs w:val="20"/>
        </w:rPr>
        <w:t xml:space="preserve"> For each output from Donut, the method looks for that output in the OCR blocks on the page. Any response that cannot be found in all blocks is thrown out. For each verified response, the confidence of the block containing the answer is used.</w:t>
      </w:r>
    </w:p>
    <w:p>
      <w:pPr>
        <w:spacing w:before="0" w:after="0" w:line="240"/>
        <w:ind w:firstLine="288"/>
        <w:jc w:val="both"/>
      </w:pPr>
      <w:r>
        <w:rPr>
          <w:rFonts w:ascii="Times New Roman" w:cs="Times New Roman" w:eastAsia="Times New Roman" w:hAnsi="Times New Roman"/>
          <w:b/>
          <w:bCs/>
          <w:sz w:val="20"/>
          <w:szCs w:val="20"/>
        </w:rPr>
        <w:t xml:space="preserve">Usability.</w:t>
      </w:r>
      <w:r>
        <w:rPr>
          <w:rFonts w:ascii="Times New Roman" w:cs="Times New Roman" w:eastAsia="Times New Roman" w:hAnsi="Times New Roman"/>
          <w:sz w:val="20"/>
          <w:szCs w:val="20"/>
        </w:rPr>
        <w:t xml:space="preserve"> Values are considered unusable if they have not been set to the expected type of field, ie a date which does not have a four digit year or a number of the wrong type, i.e. not numeric or a number value which is not a number. They are also considered unusable if multiple fields use the same value, or an ‘utterance’ of greater than ten words results in a clause rather than a value.</w:t>
      </w:r>
    </w:p>
    <w:p>
      <w:pPr>
        <w:spacing w:before="0" w:after="0" w:line="240"/>
        <w:ind w:firstLine="288"/>
        <w:jc w:val="both"/>
      </w:pPr>
      <w:r>
        <w:rPr>
          <w:rFonts w:ascii="Times New Roman" w:cs="Times New Roman" w:eastAsia="Times New Roman" w:hAnsi="Times New Roman"/>
          <w:b/>
          <w:bCs/>
          <w:sz w:val="20"/>
          <w:szCs w:val="20"/>
        </w:rPr>
        <w:t xml:space="preserve">Decision.</w:t>
      </w:r>
      <w:r>
        <w:rPr>
          <w:rFonts w:ascii="Times New Roman" w:cs="Times New Roman" w:eastAsia="Times New Roman" w:hAnsi="Times New Roman"/>
          <w:sz w:val="20"/>
          <w:szCs w:val="20"/>
        </w:rPr>
        <w:t xml:space="preserve">  Use the value from the OCR-LLM branch unless it is unusable and the Donut value is usable. If the value from both the OCR-LLM and Donut branch is usable, Donut will only override the value of fields with spatial based fields, e.g. dates, amount, signature. For unfilled fields in the OCR-LLM branch for non-numeric fields, Donut can fill in for the field to be filled (as several incorrect values were a result of Donut-only numerical fill during development). See Algorithm 1 for the process to fill each field.</w:t>
      </w:r>
    </w:p>
    <w:p>
      <w:pPr>
        <w:keepNext/>
        <w:pBdr>
          <w:top w:val="single" w:color="000000" w:sz="6" w:space="2"/>
          <w:bottom w:val="single" w:color="000000" w:sz="4" w:space="1"/>
        </w:pBdr>
        <w:spacing w:before="160" w:after="40"/>
      </w:pPr>
      <w:r>
        <w:rPr>
          <w:b/>
          <w:bCs/>
          <w:sz w:val="18"/>
          <w:szCs w:val="18"/>
        </w:rPr>
        <w:t xml:space="preserve">Algorithm 1:</w:t>
      </w:r>
      <w:r>
        <w:rPr>
          <w:sz w:val="18"/>
          <w:szCs w:val="18"/>
        </w:rPr>
        <w:t xml:space="preserve"> Deterministic field-level policy fusion</w:t>
      </w:r>
    </w:p>
    <w:p>
      <w:pPr>
        <w:pStyle w:val="NoHyph"/>
        <w:keepNext/>
        <w:keepLines/>
        <w:tabs>
          <w:tab w:val="left" w:pos="360"/>
          <w:tab w:val="right" w:pos="5040"/>
        </w:tabs>
        <w:spacing w:before="0" w:after="0" w:line="240"/>
        <w:ind w:left="360" w:hanging="360"/>
      </w:pPr>
      <w:r>
        <w:rPr>
          <w:sz w:val="18"/>
          <w:szCs w:val="18"/>
        </w:rPr>
        <w:t xml:space="preserve">1:	</w:t>
      </w:r>
      <w:r>
        <w:rPr>
          <w:rFonts w:ascii="Times New Roman" w:cs="Times New Roman" w:eastAsia="Times New Roman" w:hAnsi="Times New Roman"/>
          <w:b/>
          <w:bCs/>
          <w:sz w:val="18"/>
          <w:szCs w:val="18"/>
        </w:rPr>
        <w:t xml:space="preserve">Input:</w:t>
      </w:r>
      <w:r>
        <w:rPr>
          <w:rFonts w:ascii="Times New Roman" w:cs="Times New Roman" w:eastAsia="Times New Roman" w:hAnsi="Times New Roman"/>
          <w:sz w:val="18"/>
          <w:szCs w:val="18"/>
        </w:rPr>
        <w:t xml:space="preserve"> OCR-LLM value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confidence </w:t>
      </w:r>
      <w:r>
        <w:rPr>
          <w:rFonts w:ascii="Times New Roman" w:cs="Times New Roman" w:eastAsia="Times New Roman" w:hAnsi="Times New Roman"/>
          <w:i/>
          <w:iCs/>
          <w:sz w:val="18"/>
          <w:szCs w:val="18"/>
        </w:rPr>
        <w:t xml:space="preserve">c</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grounded Donut value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confidence </w:t>
      </w:r>
      <w:r>
        <w:rPr>
          <w:rFonts w:ascii="Times New Roman" w:cs="Times New Roman" w:eastAsia="Times New Roman" w:hAnsi="Times New Roman"/>
          <w:i/>
          <w:iCs/>
          <w:sz w:val="18"/>
          <w:szCs w:val="18"/>
        </w:rPr>
        <w:t xml:space="preserve">c</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floor </w:t>
      </w:r>
      <w:r>
        <w:rPr>
          <w:rFonts w:ascii="Times New Roman" w:cs="Times New Roman" w:eastAsia="Times New Roman" w:hAnsi="Times New Roman"/>
          <w:i/>
          <w:iCs/>
          <w:sz w:val="18"/>
          <w:szCs w:val="18"/>
        </w:rPr>
        <w:t xml:space="preserve">δ</w:t>
      </w:r>
      <w:r>
        <w:rPr>
          <w:rFonts w:ascii="Times New Roman" w:cs="Times New Roman" w:eastAsia="Times New Roman" w:hAnsi="Times New Roman"/>
          <w:sz w:val="18"/>
          <w:szCs w:val="18"/>
        </w:rPr>
        <w:t xml:space="preserve">; field type </w:t>
      </w:r>
      <w:r>
        <w:rPr>
          <w:rFonts w:ascii="Times New Roman" w:cs="Times New Roman" w:eastAsia="Times New Roman" w:hAnsi="Times New Roman"/>
          <w:i/>
          <w:iCs/>
          <w:sz w:val="18"/>
          <w:szCs w:val="18"/>
        </w:rPr>
        <w:t xml:space="preserve">τ</w:t>
      </w:r>
    </w:p>
    <w:p>
      <w:pPr>
        <w:pStyle w:val="NoHyph"/>
        <w:keepNext/>
        <w:keepLines/>
        <w:tabs>
          <w:tab w:val="left" w:pos="360"/>
          <w:tab w:val="right" w:pos="5040"/>
        </w:tabs>
        <w:spacing w:before="0" w:after="0" w:line="240"/>
        <w:ind w:left="360" w:hanging="360"/>
      </w:pPr>
      <w:r>
        <w:rPr>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and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are both null </w:t>
      </w:r>
      <w:r>
        <w:rPr>
          <w:rFonts w:ascii="Times New Roman" w:cs="Times New Roman" w:eastAsia="Times New Roman" w:hAnsi="Times New Roman"/>
          <w:b/>
          <w:bCs/>
          <w:sz w:val="18"/>
          <w:szCs w:val="18"/>
        </w:rPr>
        <w:t xml:space="preserve">then</w:t>
      </w:r>
    </w:p>
    <w:p>
      <w:pPr>
        <w:pStyle w:val="NoHyph"/>
        <w:keepNext/>
        <w:keepLines/>
        <w:tabs>
          <w:tab w:val="left" w:pos="660"/>
          <w:tab w:val="right" w:pos="5040"/>
        </w:tabs>
        <w:spacing w:before="0" w:after="0" w:line="240"/>
        <w:ind w:left="660" w:hanging="660"/>
      </w:pPr>
      <w:r>
        <w:rPr>
          <w:sz w:val="18"/>
          <w:szCs w:val="18"/>
        </w:rPr>
        <w:t xml:space="preserve">3: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null</w:t>
      </w:r>
    </w:p>
    <w:p>
      <w:pPr>
        <w:pStyle w:val="NoHyph"/>
        <w:keepNext/>
        <w:keepLines/>
        <w:tabs>
          <w:tab w:val="left" w:pos="360"/>
          <w:tab w:val="right" w:pos="5040"/>
        </w:tabs>
        <w:spacing w:before="0" w:after="0" w:line="240"/>
        <w:ind w:left="360" w:hanging="360"/>
      </w:pPr>
      <w:r>
        <w:rPr>
          <w:sz w:val="18"/>
          <w:szCs w:val="18"/>
        </w:rPr>
        <w:t xml:space="preserve">4:	</w:t>
      </w:r>
      <w:r>
        <w:rPr>
          <w:rFonts w:ascii="Times New Roman" w:cs="Times New Roman" w:eastAsia="Times New Roman" w:hAnsi="Times New Roman"/>
          <w:b/>
          <w:bCs/>
          <w:sz w:val="18"/>
          <w:szCs w:val="18"/>
        </w:rPr>
        <w:t xml:space="preserve">else if</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is null </w:t>
      </w:r>
      <w:r>
        <w:rPr>
          <w:rFonts w:ascii="Times New Roman" w:cs="Times New Roman" w:eastAsia="Times New Roman" w:hAnsi="Times New Roman"/>
          <w:b/>
          <w:bCs/>
          <w:sz w:val="18"/>
          <w:szCs w:val="18"/>
        </w:rPr>
        <w:t xml:space="preserve">then</w:t>
      </w:r>
    </w:p>
    <w:p>
      <w:pPr>
        <w:pStyle w:val="NoHyph"/>
        <w:keepNext/>
        <w:keepLines/>
        <w:tabs>
          <w:tab w:val="left" w:pos="660"/>
          <w:tab w:val="right" w:pos="5040"/>
        </w:tabs>
        <w:spacing w:before="0" w:after="0" w:line="240"/>
        <w:ind w:left="660" w:hanging="660"/>
      </w:pPr>
      <w:r>
        <w:rPr>
          <w:sz w:val="18"/>
          <w:szCs w:val="18"/>
        </w:rPr>
        <w:t xml:space="preserve">5: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if </w:t>
      </w:r>
      <w:r>
        <w:rPr>
          <w:rFonts w:ascii="Times New Roman" w:cs="Times New Roman" w:eastAsia="Times New Roman" w:hAnsi="Times New Roman"/>
          <w:i/>
          <w:iCs/>
          <w:sz w:val="18"/>
          <w:szCs w:val="18"/>
        </w:rPr>
        <w:t xml:space="preserve">c</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δ</w:t>
      </w:r>
      <w:r>
        <w:rPr>
          <w:rFonts w:ascii="Times New Roman" w:cs="Times New Roman" w:eastAsia="Times New Roman" w:hAnsi="Times New Roman"/>
          <w:sz w:val="18"/>
          <w:szCs w:val="18"/>
        </w:rPr>
        <w:t xml:space="preserve">, else null</w:t>
      </w:r>
    </w:p>
    <w:p>
      <w:pPr>
        <w:pStyle w:val="NoHyph"/>
        <w:keepNext/>
        <w:keepLines/>
        <w:tabs>
          <w:tab w:val="left" w:pos="360"/>
          <w:tab w:val="right" w:pos="5040"/>
        </w:tabs>
        <w:spacing w:before="0" w:after="0" w:line="240"/>
        <w:ind w:left="360" w:hanging="360"/>
      </w:pPr>
      <w:r>
        <w:rPr>
          <w:sz w:val="18"/>
          <w:szCs w:val="18"/>
        </w:rPr>
        <w:t xml:space="preserve">6:	</w:t>
      </w:r>
      <w:r>
        <w:rPr>
          <w:rFonts w:ascii="Times New Roman" w:cs="Times New Roman" w:eastAsia="Times New Roman" w:hAnsi="Times New Roman"/>
          <w:b/>
          <w:bCs/>
          <w:sz w:val="18"/>
          <w:szCs w:val="18"/>
        </w:rPr>
        <w:t xml:space="preserve">else if</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is null </w:t>
      </w:r>
      <w:r>
        <w:rPr>
          <w:rFonts w:ascii="Times New Roman" w:cs="Times New Roman" w:eastAsia="Times New Roman" w:hAnsi="Times New Roman"/>
          <w:b/>
          <w:bCs/>
          <w:sz w:val="18"/>
          <w:szCs w:val="18"/>
        </w:rPr>
        <w:t xml:space="preserve">then</w:t>
      </w:r>
    </w:p>
    <w:p>
      <w:pPr>
        <w:pStyle w:val="NoHyph"/>
        <w:keepNext/>
        <w:keepLines/>
        <w:tabs>
          <w:tab w:val="left" w:pos="660"/>
          <w:tab w:val="right" w:pos="5040"/>
        </w:tabs>
        <w:spacing w:before="0" w:after="0" w:line="240"/>
        <w:ind w:left="660" w:hanging="660"/>
      </w:pPr>
      <w:r>
        <w:rPr>
          <w:sz w:val="18"/>
          <w:szCs w:val="18"/>
        </w:rPr>
        <w:t xml:space="preserve">7: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if </w:t>
      </w:r>
      <w:r>
        <w:rPr>
          <w:rFonts w:ascii="Times New Roman" w:cs="Times New Roman" w:eastAsia="Times New Roman" w:hAnsi="Times New Roman"/>
          <w:i/>
          <w:iCs/>
          <w:sz w:val="18"/>
          <w:szCs w:val="18"/>
        </w:rPr>
        <w:t xml:space="preserve">c</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δ</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is usable and </w:t>
      </w:r>
      <w:r>
        <w:rPr>
          <w:rFonts w:ascii="Times New Roman" w:cs="Times New Roman" w:eastAsia="Times New Roman" w:hAnsi="Times New Roman"/>
          <w:i/>
          <w:iCs/>
          <w:sz w:val="18"/>
          <w:szCs w:val="18"/>
        </w:rPr>
        <w:t xml:space="preserve">τ</w:t>
      </w:r>
      <w:r>
        <w:rPr>
          <w:rFonts w:ascii="Times New Roman" w:cs="Times New Roman" w:eastAsia="Times New Roman" w:hAnsi="Times New Roman"/>
          <w:sz w:val="18"/>
          <w:szCs w:val="18"/>
        </w:rPr>
        <w:t xml:space="preserve"> is not numeric; else null</w:t>
      </w:r>
    </w:p>
    <w:p>
      <w:pPr>
        <w:pStyle w:val="NoHyph"/>
        <w:keepNext/>
        <w:keepLines/>
        <w:tabs>
          <w:tab w:val="left" w:pos="360"/>
          <w:tab w:val="right" w:pos="5040"/>
        </w:tabs>
        <w:spacing w:before="0" w:after="0" w:line="240"/>
        <w:ind w:left="360" w:hanging="360"/>
      </w:pPr>
      <w:r>
        <w:rPr>
          <w:sz w:val="18"/>
          <w:szCs w:val="18"/>
        </w:rPr>
        <w:t xml:space="preserve">8:	</w:t>
      </w:r>
      <w:r>
        <w:rPr>
          <w:rFonts w:ascii="Times New Roman" w:cs="Times New Roman" w:eastAsia="Times New Roman" w:hAnsi="Times New Roman"/>
          <w:b/>
          <w:bCs/>
          <w:sz w:val="18"/>
          <w:szCs w:val="18"/>
        </w:rPr>
        <w:t xml:space="preserve">else if</w:t>
      </w:r>
      <w:r>
        <w:rPr>
          <w:rFonts w:ascii="Times New Roman" w:cs="Times New Roman" w:eastAsia="Times New Roman" w:hAnsi="Times New Roman"/>
          <w:sz w:val="18"/>
          <w:szCs w:val="18"/>
        </w:rPr>
        <w:t xml:space="preserve"> canonical(</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 canonical(</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then</w:t>
      </w:r>
    </w:p>
    <w:p>
      <w:pPr>
        <w:pStyle w:val="NoHyph"/>
        <w:keepNext/>
        <w:keepLines/>
        <w:tabs>
          <w:tab w:val="left" w:pos="660"/>
          <w:tab w:val="right" w:pos="5040"/>
        </w:tabs>
        <w:spacing w:before="0" w:after="0" w:line="240"/>
        <w:ind w:left="660" w:hanging="660"/>
      </w:pPr>
      <w:r>
        <w:rPr>
          <w:sz w:val="18"/>
          <w:szCs w:val="18"/>
        </w:rPr>
        <w:t xml:space="preserve">9: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sz w:val="18"/>
          <w:szCs w:val="18"/>
        </w:rPr>
        <w:t xml:space="preserve">	{agreement}</w:t>
      </w:r>
    </w:p>
    <w:p>
      <w:pPr>
        <w:pStyle w:val="NoHyph"/>
        <w:keepNext/>
        <w:keepLines/>
        <w:tabs>
          <w:tab w:val="left" w:pos="360"/>
          <w:tab w:val="right" w:pos="5040"/>
        </w:tabs>
        <w:spacing w:before="0" w:after="0" w:line="240"/>
        <w:ind w:left="360" w:hanging="360"/>
      </w:pPr>
      <w:r>
        <w:rPr>
          <w:sz w:val="18"/>
          <w:szCs w:val="18"/>
        </w:rPr>
        <w:t xml:space="preserve">10:	</w:t>
      </w:r>
      <w:r>
        <w:rPr>
          <w:rFonts w:ascii="Times New Roman" w:cs="Times New Roman" w:eastAsia="Times New Roman" w:hAnsi="Times New Roman"/>
          <w:b/>
          <w:bCs/>
          <w:sz w:val="18"/>
          <w:szCs w:val="18"/>
        </w:rPr>
        <w:t xml:space="preserve">else if</w:t>
      </w:r>
      <w:r>
        <w:rPr>
          <w:rFonts w:ascii="Times New Roman" w:cs="Times New Roman" w:eastAsia="Times New Roman" w:hAnsi="Times New Roman"/>
          <w:sz w:val="18"/>
          <w:szCs w:val="18"/>
        </w:rPr>
        <w:t xml:space="preserve"> field is spatially anchored </w:t>
      </w:r>
      <w:r>
        <w:rPr>
          <w:rFonts w:ascii="Times New Roman" w:cs="Times New Roman" w:eastAsia="Times New Roman" w:hAnsi="Times New Roman"/>
          <w:b/>
          <w:bCs/>
          <w:sz w:val="18"/>
          <w:szCs w:val="18"/>
        </w:rPr>
        <w:t xml:space="preserve">then</w:t>
      </w:r>
    </w:p>
    <w:p>
      <w:pPr>
        <w:pStyle w:val="NoHyph"/>
        <w:keepNext/>
        <w:keepLines/>
        <w:tabs>
          <w:tab w:val="left" w:pos="660"/>
          <w:tab w:val="right" w:pos="5040"/>
        </w:tabs>
        <w:spacing w:before="0" w:after="0" w:line="240"/>
        <w:ind w:left="660" w:hanging="660"/>
      </w:pPr>
      <w:r>
        <w:rPr>
          <w:sz w:val="18"/>
          <w:szCs w:val="18"/>
        </w:rPr>
        <w:t xml:space="preserve">11: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p>
    <w:p>
      <w:pPr>
        <w:pStyle w:val="NoHyph"/>
        <w:keepNext/>
        <w:keepLines/>
        <w:tabs>
          <w:tab w:val="left" w:pos="360"/>
          <w:tab w:val="right" w:pos="5040"/>
        </w:tabs>
        <w:spacing w:before="0" w:after="0" w:line="240"/>
        <w:ind w:left="360" w:hanging="360"/>
      </w:pPr>
      <w:r>
        <w:rPr>
          <w:sz w:val="18"/>
          <w:szCs w:val="18"/>
        </w:rPr>
        <w:t xml:space="preserve">12:	</w:t>
      </w:r>
      <w:r>
        <w:rPr>
          <w:rFonts w:ascii="Times New Roman" w:cs="Times New Roman" w:eastAsia="Times New Roman" w:hAnsi="Times New Roman"/>
          <w:b/>
          <w:bCs/>
          <w:sz w:val="18"/>
          <w:szCs w:val="18"/>
        </w:rPr>
        <w:t xml:space="preserve">else if</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rFonts w:ascii="Times New Roman" w:cs="Times New Roman" w:eastAsia="Times New Roman" w:hAnsi="Times New Roman"/>
          <w:sz w:val="18"/>
          <w:szCs w:val="18"/>
        </w:rPr>
        <w:t xml:space="preserve"> is unusable </w:t>
      </w:r>
      <w:r>
        <w:rPr>
          <w:rFonts w:ascii="Times New Roman" w:cs="Times New Roman" w:eastAsia="Times New Roman" w:hAnsi="Times New Roman"/>
          <w:b/>
          <w:bCs/>
          <w:sz w:val="18"/>
          <w:szCs w:val="18"/>
        </w:rPr>
        <w:t xml:space="preserve">and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rFonts w:ascii="Times New Roman" w:cs="Times New Roman" w:eastAsia="Times New Roman" w:hAnsi="Times New Roman"/>
          <w:sz w:val="18"/>
          <w:szCs w:val="18"/>
        </w:rPr>
        <w:t xml:space="preserve"> is usable </w:t>
      </w:r>
      <w:r>
        <w:rPr>
          <w:rFonts w:ascii="Times New Roman" w:cs="Times New Roman" w:eastAsia="Times New Roman" w:hAnsi="Times New Roman"/>
          <w:b/>
          <w:bCs/>
          <w:sz w:val="18"/>
          <w:szCs w:val="18"/>
        </w:rPr>
        <w:t xml:space="preserve">then</w:t>
      </w:r>
    </w:p>
    <w:p>
      <w:pPr>
        <w:pStyle w:val="NoHyph"/>
        <w:keepNext/>
        <w:keepLines/>
        <w:tabs>
          <w:tab w:val="left" w:pos="660"/>
          <w:tab w:val="right" w:pos="5040"/>
        </w:tabs>
        <w:spacing w:before="0" w:after="0" w:line="240"/>
        <w:ind w:left="660" w:hanging="660"/>
      </w:pPr>
      <w:r>
        <w:rPr>
          <w:sz w:val="18"/>
          <w:szCs w:val="18"/>
        </w:rPr>
        <w:t xml:space="preserve">13: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D</w:t>
      </w:r>
      <w:r>
        <w:rPr>
          <w:sz w:val="18"/>
          <w:szCs w:val="18"/>
        </w:rPr>
        <w:t xml:space="preserve">	{evidence, not confidence}</w:t>
      </w:r>
    </w:p>
    <w:p>
      <w:pPr>
        <w:pStyle w:val="NoHyph"/>
        <w:keepNext/>
        <w:keepLines/>
        <w:tabs>
          <w:tab w:val="left" w:pos="360"/>
          <w:tab w:val="right" w:pos="5040"/>
        </w:tabs>
        <w:spacing w:before="0" w:after="0" w:line="240"/>
        <w:ind w:left="360" w:hanging="360"/>
      </w:pPr>
      <w:r>
        <w:rPr>
          <w:sz w:val="18"/>
          <w:szCs w:val="18"/>
        </w:rPr>
        <w:t xml:space="preserve">14:	</w:t>
      </w:r>
      <w:r>
        <w:rPr>
          <w:rFonts w:ascii="Times New Roman" w:cs="Times New Roman" w:eastAsia="Times New Roman" w:hAnsi="Times New Roman"/>
          <w:b/>
          <w:bCs/>
          <w:sz w:val="18"/>
          <w:szCs w:val="18"/>
        </w:rPr>
        <w:t xml:space="preserve">else</w:t>
      </w:r>
    </w:p>
    <w:p>
      <w:pPr>
        <w:pStyle w:val="NoHyph"/>
        <w:keepNext/>
        <w:keepLines/>
        <w:tabs>
          <w:tab w:val="left" w:pos="660"/>
          <w:tab w:val="right" w:pos="5040"/>
        </w:tabs>
        <w:spacing w:before="0" w:after="0" w:line="240"/>
        <w:ind w:left="660" w:hanging="660"/>
      </w:pPr>
      <w:r>
        <w:rPr>
          <w:sz w:val="18"/>
          <w:szCs w:val="18"/>
        </w:rPr>
        <w:t xml:space="preserve">15: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O</w:t>
      </w:r>
      <w:r>
        <w:rPr>
          <w:sz w:val="18"/>
          <w:szCs w:val="18"/>
        </w:rPr>
        <w:t xml:space="preserve">	{default}</w:t>
      </w:r>
    </w:p>
    <w:p>
      <w:pPr>
        <w:pStyle w:val="NoHyph"/>
        <w:keepNext w:val="false"/>
        <w:keepLines/>
        <w:pBdr>
          <w:bottom w:val="single" w:color="000000" w:sz="4" w:space="1"/>
        </w:pBdr>
        <w:tabs>
          <w:tab w:val="left" w:pos="360"/>
          <w:tab w:val="right" w:pos="5040"/>
        </w:tabs>
        <w:spacing w:before="0" w:after="200" w:line="240"/>
        <w:ind w:left="360" w:hanging="360"/>
      </w:pPr>
      <w:r>
        <w:rPr>
          <w:sz w:val="18"/>
          <w:szCs w:val="18"/>
        </w:rPr>
        <w:t xml:space="preserve">16:	</w:t>
      </w:r>
      <w:r>
        <w:rPr>
          <w:rFonts w:ascii="Times New Roman" w:cs="Times New Roman" w:eastAsia="Times New Roman" w:hAnsi="Times New Roman"/>
          <w:b/>
          <w:bCs/>
          <w:sz w:val="18"/>
          <w:szCs w:val="18"/>
        </w:rPr>
        <w:t xml:space="preserve">end if</w:t>
      </w:r>
    </w:p>
    <w:p>
      <w:pPr>
        <w:spacing w:before="0" w:after="0" w:line="240"/>
        <w:ind w:firstLine="288"/>
        <w:jc w:val="both"/>
      </w:pPr>
      <w:r>
        <w:rPr>
          <w:rFonts w:ascii="Times New Roman" w:cs="Times New Roman" w:eastAsia="Times New Roman" w:hAnsi="Times New Roman"/>
          <w:sz w:val="20"/>
          <w:szCs w:val="20"/>
        </w:rPr>
        <w:t xml:space="preserve">There is an additional normalization of values, including tokens within the value like a space, and the additional tokens common to boilerplate language (ex. As defined herein), in addition to cross field validations such as </w:t>
      </w:r>
      <w:r>
        <w:rPr>
          <w:rFonts w:ascii="Courier New" w:cs="Courier New" w:eastAsia="Courier New" w:hAnsi="Courier New"/>
          <w:noProof/>
          <w:sz w:val="19"/>
          <w:szCs w:val="19"/>
        </w:rPr>
        <w:t xml:space="preserve">effective_date</w:t>
      </w:r>
      <w:r>
        <w:rPr>
          <w:rFonts w:ascii="Times New Roman" w:cs="Times New Roman" w:eastAsia="Times New Roman" w:hAnsi="Times New Roman"/>
          <w:sz w:val="20"/>
          <w:szCs w:val="20"/>
        </w:rPr>
        <w:t xml:space="preserve"> ≤ </w:t>
      </w:r>
      <w:r>
        <w:rPr>
          <w:rFonts w:ascii="Courier New" w:cs="Courier New" w:eastAsia="Courier New" w:hAnsi="Courier New"/>
          <w:noProof/>
          <w:sz w:val="19"/>
          <w:szCs w:val="19"/>
        </w:rPr>
        <w:t xml:space="preserve">expiry_date</w:t>
      </w:r>
      <w:r>
        <w:rPr>
          <w:rFonts w:ascii="Times New Roman" w:cs="Times New Roman" w:eastAsia="Times New Roman" w:hAnsi="Times New Roman"/>
          <w:sz w:val="20"/>
          <w:szCs w:val="20"/>
        </w:rPr>
        <w:t xml:space="preserve">, </w:t>
      </w:r>
      <w:r>
        <w:rPr>
          <w:rFonts w:ascii="Courier New" w:cs="Courier New" w:eastAsia="Courier New" w:hAnsi="Courier New"/>
          <w:noProof/>
          <w:sz w:val="19"/>
          <w:szCs w:val="19"/>
        </w:rPr>
        <w:t xml:space="preserve">disclosing_party</w:t>
      </w:r>
      <w:r>
        <w:rPr>
          <w:rFonts w:ascii="Times New Roman" w:cs="Times New Roman" w:eastAsia="Times New Roman" w:hAnsi="Times New Roman"/>
          <w:sz w:val="20"/>
          <w:szCs w:val="20"/>
        </w:rPr>
        <w:t xml:space="preserve"> ≠ </w:t>
      </w:r>
      <w:r>
        <w:rPr>
          <w:rFonts w:ascii="Courier New" w:cs="Courier New" w:eastAsia="Courier New" w:hAnsi="Courier New"/>
          <w:noProof/>
          <w:sz w:val="19"/>
          <w:szCs w:val="19"/>
        </w:rPr>
        <w:t xml:space="preserve">receiving_party</w:t>
      </w:r>
      <w:r>
        <w:rPr>
          <w:rFonts w:ascii="Times New Roman" w:cs="Times New Roman" w:eastAsia="Times New Roman" w:hAnsi="Times New Roman"/>
          <w:sz w:val="20"/>
          <w:szCs w:val="20"/>
        </w:rPr>
        <w:t xml:space="preserve">. If any of these validations fail, the event is recorded as a record metadata entry, and this text is not “corrected”. Additionally, each “fused” field is marked with the branch of the source element and rule that prompted its creation</w:t>
      </w:r>
    </w:p>
    <w:p>
      <w:pPr>
        <w:pStyle w:val="Heading2"/>
      </w:pPr>
      <w:r>
        <w:rPr>
          <w:rFonts w:ascii="Times New Roman" w:cs="Times New Roman" w:eastAsia="Times New Roman" w:hAnsi="Times New Roman"/>
          <w:i/>
          <w:iCs/>
          <w:sz w:val="20"/>
          <w:szCs w:val="20"/>
        </w:rPr>
        <w:t xml:space="preserve">D. LoRA Adapter-Routed Layout Analysis</w:t>
      </w:r>
    </w:p>
    <w:p>
      <w:pPr>
        <w:spacing w:before="0" w:after="0" w:line="240"/>
        <w:ind w:firstLine="288"/>
        <w:jc w:val="both"/>
      </w:pPr>
      <w:r>
        <w:rPr>
          <w:rFonts w:ascii="Times New Roman" w:cs="Times New Roman" w:eastAsia="Times New Roman" w:hAnsi="Times New Roman"/>
          <w:b/>
          <w:bCs/>
          <w:sz w:val="20"/>
          <w:szCs w:val="20"/>
        </w:rPr>
        <w:t xml:space="preserve">Dataset grouping.</w:t>
      </w:r>
      <w:r>
        <w:rPr>
          <w:rFonts w:ascii="Times New Roman" w:cs="Times New Roman" w:eastAsia="Times New Roman" w:hAnsi="Times New Roman"/>
          <w:sz w:val="20"/>
          <w:szCs w:val="20"/>
        </w:rPr>
        <w:t xml:space="preserve"> Four datasets with token- or region-level layout annotations are placed into two different sets of styles. Group 1 (receipts and invoices: CORD and SROIE) comprises 1,363 pages in the training set, while Group 2 (forms and multi-domain pages: FUNSD and Doc Lay Net) has 4,954 pages in training (capped at 5k in the case of Doc Lay Net). Layout statistics of these two groups differ, indicating that each group will likely need its own adapter on a shared frozen LayoutLMv3-base. A routing system will keep the base model and a small set of most recently used adapters stored in memory, then transition between adapters with the PEFT calls </w:t>
      </w:r>
      <w:r>
        <w:rPr>
          <w:rFonts w:ascii="Courier New" w:cs="Courier New" w:eastAsia="Courier New" w:hAnsi="Courier New"/>
          <w:noProof/>
          <w:sz w:val="19"/>
          <w:szCs w:val="19"/>
        </w:rPr>
        <w:t xml:space="preserve">load_adapter</w:t>
      </w:r>
      <w:r>
        <w:rPr>
          <w:rFonts w:ascii="Times New Roman" w:cs="Times New Roman" w:eastAsia="Times New Roman" w:hAnsi="Times New Roman"/>
          <w:sz w:val="20"/>
          <w:szCs w:val="20"/>
        </w:rPr>
        <w:t xml:space="preserve"> and </w:t>
      </w:r>
      <w:r>
        <w:rPr>
          <w:rFonts w:ascii="Courier New" w:cs="Courier New" w:eastAsia="Courier New" w:hAnsi="Courier New"/>
          <w:noProof/>
          <w:sz w:val="19"/>
          <w:szCs w:val="19"/>
        </w:rPr>
        <w:t xml:space="preserve">set_adapter</w:t>
      </w:r>
      <w:r>
        <w:rPr>
          <w:rFonts w:ascii="Times New Roman" w:cs="Times New Roman" w:eastAsia="Times New Roman" w:hAnsi="Times New Roman"/>
          <w:sz w:val="20"/>
          <w:szCs w:val="20"/>
        </w:rPr>
        <w:t xml:space="preserve">. (Note: Adapters will be learned to predict layout classes, not the values of the fields, so that the dataset does not reveal answers to information extraction questions in the end-to-end evaluation.)</w:t>
      </w:r>
    </w:p>
    <w:p>
      <w:pPr>
        <w:spacing w:before="0" w:after="0" w:line="240"/>
        <w:ind w:firstLine="288"/>
        <w:jc w:val="both"/>
      </w:pPr>
      <w:r>
        <w:rPr>
          <w:rFonts w:ascii="Times New Roman" w:cs="Times New Roman" w:eastAsia="Times New Roman" w:hAnsi="Times New Roman"/>
          <w:b/>
          <w:bCs/>
          <w:sz w:val="20"/>
          <w:szCs w:val="20"/>
        </w:rPr>
        <w:t xml:space="preserve">Unified label space.</w:t>
      </w:r>
      <w:r>
        <w:rPr>
          <w:rFonts w:ascii="Times New Roman" w:cs="Times New Roman" w:eastAsia="Times New Roman" w:hAnsi="Times New Roman"/>
          <w:sz w:val="20"/>
          <w:szCs w:val="20"/>
        </w:rPr>
        <w:t xml:space="preserve"> The granularity of the datasets varies: word-level entities in FUNSD, region categories in Doc Lay Net, and receipt fields in CORD and SROIE. The datasets are grouped into one of six label types: paragraph, heading, list item, table, caption, and other. Each OCR token (detection; bounding box normalized to [0,1000]) in a document is given the label of the first region it falls in before it’s passed to a predicate of the object label type, or is given a background label otherwise. This means supervision at the word level, region level, and document level are combined into one token-level task, meaning the two adapters are relatively directly comparable. Additionally, due to the constant base model and label set, either adapter can label any document without training, which we expect will improve transfer across groups.</w:t>
      </w:r>
    </w:p>
    <w:p>
      <w:pPr>
        <w:spacing w:before="0" w:after="0" w:line="240"/>
        <w:ind w:firstLine="288"/>
        <w:jc w:val="both"/>
      </w:pPr>
      <w:r>
        <w:rPr>
          <w:rFonts w:ascii="Times New Roman" w:cs="Times New Roman" w:eastAsia="Times New Roman" w:hAnsi="Times New Roman"/>
          <w:b/>
          <w:bCs/>
          <w:sz w:val="20"/>
          <w:szCs w:val="20"/>
        </w:rPr>
        <w:t xml:space="preserve">Adapter configuration.</w:t>
      </w:r>
      <w:r>
        <w:rPr>
          <w:rFonts w:ascii="Times New Roman" w:cs="Times New Roman" w:eastAsia="Times New Roman" w:hAnsi="Times New Roman"/>
          <w:sz w:val="20"/>
          <w:szCs w:val="20"/>
        </w:rPr>
        <w:t xml:space="preserve"> We use LoRA on the query, key, value, and output projections with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16,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32 and dropout = 0.05. We use AdamW as the optimizer with learning rate 5×10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weight decay 0.01, cosine schedule with 6% warmup, batch size 2 and 8 accumulation (total batch size 16). We use 512 token context length and bf16 for computation. We run a maximum of 10 epochs, with early stopping using macro-F1 on the validation set (patience = 3). We output a JSON file with the full parameters for each experiment, per-epoch evaluation results and the test set evaluation results. These are then used in all layout-adapter tables and figures.</w:t>
      </w:r>
    </w:p>
    <w:p>
      <w:pPr>
        <w:pStyle w:val="Heading2"/>
      </w:pPr>
      <w:r>
        <w:rPr>
          <w:rFonts w:ascii="Times New Roman" w:cs="Times New Roman" w:eastAsia="Times New Roman" w:hAnsi="Times New Roman"/>
          <w:i/>
          <w:iCs/>
          <w:sz w:val="20"/>
          <w:szCs w:val="20"/>
        </w:rPr>
        <w:t xml:space="preserve">E. Schema Registry, Validation and Storage</w:t>
      </w:r>
    </w:p>
    <w:p>
      <w:pPr>
        <w:spacing w:before="0" w:after="0" w:line="240"/>
        <w:ind w:firstLine="288"/>
        <w:jc w:val="both"/>
      </w:pPr>
      <w:r>
        <w:rPr>
          <w:rFonts w:ascii="Times New Roman" w:cs="Times New Roman" w:eastAsia="Times New Roman" w:hAnsi="Times New Roman"/>
          <w:sz w:val="20"/>
          <w:szCs w:val="20"/>
        </w:rPr>
        <w:t xml:space="preserve">Schemas are encoded as the mean embedding of all descriptions in all-MiniLM-L6-v2. They are likely matched using cosine similarity to a threshold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and then a schema agent (likely the agent responsible for fixing schema fields) (GPT-OSS-20B/120B) matches fields to schema descriptions, renames fields or creates new schemas and fixes bad fields. There is value and type checking. Bad fields are fixed and the attempt is made again, or the field takes on the default value from the schema. Valid rows are written to a SQLite database.</w:t>
      </w:r>
    </w:p>
    <w:p>
      <w:pPr>
        <w:pStyle w:val="Heading1"/>
      </w:pPr>
      <w:r>
        <w:rPr>
          <w:rFonts w:ascii="Times New Roman" w:cs="Times New Roman" w:eastAsia="Times New Roman" w:hAnsi="Times New Roman"/>
          <w:smallCaps/>
          <w:sz w:val="20"/>
          <w:szCs w:val="20"/>
        </w:rPr>
        <w:t xml:space="preserve">V. Experimental Results and Evaluation</w:t>
      </w:r>
    </w:p>
    <w:p>
      <w:pPr>
        <w:pStyle w:val="Heading2"/>
      </w:pPr>
      <w:r>
        <w:rPr>
          <w:rFonts w:ascii="Times New Roman" w:cs="Times New Roman" w:eastAsia="Times New Roman" w:hAnsi="Times New Roman"/>
          <w:i/>
          <w:iCs/>
          <w:sz w:val="20"/>
          <w:szCs w:val="20"/>
        </w:rPr>
        <w:t xml:space="preserve">A. Experimental Setup</w:t>
      </w:r>
    </w:p>
    <w:p>
      <w:pPr>
        <w:spacing w:before="0" w:after="0" w:line="240"/>
        <w:ind w:firstLine="288"/>
        <w:jc w:val="both"/>
      </w:pPr>
      <w:r>
        <w:rPr>
          <w:rFonts w:ascii="Times New Roman" w:cs="Times New Roman" w:eastAsia="Times New Roman" w:hAnsi="Times New Roman"/>
          <w:sz w:val="20"/>
          <w:szCs w:val="20"/>
        </w:rPr>
        <w:t xml:space="preserve">All experiments were implemented using Python 3.12 on a laptop running Windows 11, using PyTorch. One NVIDIA RTX 5060 Laptop GPU (8 GB) was used. LangChain and LangGraph were used for orchestration. SQLite was used for data storage. PEFT was used for fine-tuning.</w:t>
      </w:r>
    </w:p>
    <w:p>
      <w:pPr>
        <w:spacing w:before="0" w:after="0" w:line="240"/>
        <w:ind w:firstLine="288"/>
        <w:jc w:val="both"/>
      </w:pPr>
      <w:r>
        <w:rPr>
          <w:rFonts w:ascii="Times New Roman" w:cs="Times New Roman" w:eastAsia="Times New Roman" w:hAnsi="Times New Roman"/>
          <w:b/>
          <w:bCs/>
          <w:sz w:val="20"/>
          <w:szCs w:val="20"/>
        </w:rPr>
        <w:t xml:space="preserve">Layout adapters.</w:t>
      </w:r>
      <w:r>
        <w:rPr>
          <w:rFonts w:ascii="Times New Roman" w:cs="Times New Roman" w:eastAsia="Times New Roman" w:hAnsi="Times New Roman"/>
          <w:sz w:val="20"/>
          <w:szCs w:val="20"/>
        </w:rPr>
        <w:t xml:space="preserve"> Each experiment was trained using seeds 13, 42 and 1234 with a consistent train/valid split. If the dataset contains an existing validation set (CORD and DocLayNet), this was used. Otherwise a 10% random subset (seeded) was used (FUNSD and SROIE). For final results, the official test set was used. For Group 1, the CORD test set (100 pages) and SROIE test set (347 pages) was used. For Group 2, the first 834 pages of the DocLayNet test set and the FUNSD test set (50 pages) was used. The baseline trains only the token classification layer and freezes the rest of the model. All other parameters (data, number of training iterations, early stopping etc) were kept identical.</w:t>
      </w:r>
    </w:p>
    <w:p>
      <w:pPr>
        <w:spacing w:before="0" w:after="0" w:line="240"/>
        <w:ind w:firstLine="288"/>
        <w:jc w:val="both"/>
      </w:pPr>
      <w:r>
        <w:rPr>
          <w:rFonts w:ascii="Times New Roman" w:cs="Times New Roman" w:eastAsia="Times New Roman" w:hAnsi="Times New Roman"/>
          <w:b/>
          <w:bCs/>
          <w:sz w:val="20"/>
          <w:szCs w:val="20"/>
        </w:rPr>
        <w:t xml:space="preserve">End-to-end extraction.</w:t>
      </w:r>
      <w:r>
        <w:rPr>
          <w:rFonts w:ascii="Times New Roman" w:cs="Times New Roman" w:eastAsia="Times New Roman" w:hAnsi="Times New Roman"/>
          <w:sz w:val="20"/>
          <w:szCs w:val="20"/>
        </w:rPr>
        <w:t xml:space="preserve"> The results of this evaluation were obtained from two groups of test data and three different types of input data. Each of these three different types of input data represented different styles of documents. For example, one type of input data was an invoice, another type of input data was a non-disclosure agreement (NDA), and the third type of input data was an employment contract. In addition, there were six amount fields in the second group of test data, and they were also part of invoices. Two types of test data were used. One type included 15 different documents. These documents had multiple pages. The other type contained 100 test receipts from SROIE, 50 test receipts from CORD, and all documents were randomly selected. Since there are no settings that need to be adjusted, all model stages ran locally at temperature 0. Therefore, the performance metrics shown below represent the average performance metric for all of the test data.</w:t>
      </w:r>
    </w:p>
    <w:p>
      <w:pPr>
        <w:pStyle w:val="Heading2"/>
      </w:pPr>
      <w:r>
        <w:rPr>
          <w:rFonts w:ascii="Times New Roman" w:cs="Times New Roman" w:eastAsia="Times New Roman" w:hAnsi="Times New Roman"/>
          <w:i/>
          <w:iCs/>
          <w:sz w:val="20"/>
          <w:szCs w:val="20"/>
        </w:rPr>
        <w:t xml:space="preserve">B. Layout Adapters</w:t>
      </w:r>
    </w:p>
    <w:p>
      <w:pPr>
        <w:pStyle w:val="NoHyph"/>
        <w:keepNext/>
        <w:spacing w:before="160" w:after="0"/>
        <w:jc w:val="center"/>
      </w:pPr>
      <w:r>
        <w:rPr>
          <w:rFonts w:ascii="Times New Roman" w:cs="Times New Roman" w:eastAsia="Times New Roman" w:hAnsi="Times New Roman"/>
          <w:smallCaps/>
          <w:sz w:val="16"/>
          <w:szCs w:val="16"/>
        </w:rPr>
        <w:t xml:space="preserve">TABLE I</w:t>
      </w:r>
    </w:p>
    <w:p>
      <w:pPr>
        <w:pStyle w:val="NoHyph"/>
        <w:keepNext/>
        <w:spacing w:before="0" w:after="80"/>
        <w:jc w:val="center"/>
      </w:pPr>
      <w:r>
        <w:rPr>
          <w:rFonts w:ascii="Times New Roman" w:cs="Times New Roman" w:eastAsia="Times New Roman" w:hAnsi="Times New Roman"/>
          <w:smallCaps/>
          <w:sz w:val="16"/>
          <w:szCs w:val="16"/>
        </w:rPr>
        <w:t xml:space="preserve">Layout labelling macro-F1 (mean ± std, three seeds).</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420"/>
        <w:gridCol w:w="720"/>
        <w:gridCol w:w="1060"/>
        <w:gridCol w:w="1060"/>
        <w:gridCol w:w="1000"/>
      </w:tblGrid>
      <w:tr>
        <w:trPr>
          <w:cantSplit/>
        </w:trPr>
        <w:tc>
          <w:tcPr>
            <w:tcW w:type="dxa" w:w="78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b/>
                <w:bCs/>
                <w:sz w:val="16"/>
                <w:szCs w:val="16"/>
              </w:rPr>
              <w:t xml:space="preserve">Method</w:t>
            </w:r>
          </w:p>
        </w:tc>
        <w:tc>
          <w:tcPr>
            <w:tcW w:type="dxa" w:w="42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b/>
                <w:bCs/>
                <w:sz w:val="16"/>
                <w:szCs w:val="16"/>
              </w:rPr>
              <w:t xml:space="preserve">Grp.</w:t>
            </w:r>
          </w:p>
        </w:tc>
        <w:tc>
          <w:tcPr>
            <w:tcW w:type="dxa" w:w="72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Train.</w:t>
            </w:r>
          </w:p>
        </w:tc>
        <w:tc>
          <w:tcPr>
            <w:tcW w:type="dxa" w:w="106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Val</w:t>
            </w:r>
          </w:p>
        </w:tc>
        <w:tc>
          <w:tcPr>
            <w:tcW w:type="dxa" w:w="106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Test</w:t>
            </w:r>
          </w:p>
        </w:tc>
        <w:tc>
          <w:tcPr>
            <w:tcW w:type="dxa" w:w="100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Cross</w:t>
            </w:r>
          </w:p>
        </w:tc>
      </w:tr>
      <w:tr>
        <w:trPr>
          <w:cantSplit/>
        </w:trPr>
        <w:tc>
          <w:tcPr>
            <w:tcW w:type="dxa" w:w="78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Frozen</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1</w:t>
            </w: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0.0037%</w:t>
            </w:r>
          </w:p>
        </w:tc>
        <w:tc>
          <w:tcPr>
            <w:tcW w:type="dxa" w:w="106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0.715 ± .007</w:t>
            </w:r>
          </w:p>
        </w:tc>
        <w:tc>
          <w:tcPr>
            <w:tcW w:type="dxa" w:w="106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0.706 ± .004</w:t>
            </w:r>
          </w:p>
        </w:tc>
        <w:tc>
          <w:tcPr>
            <w:tcW w:type="dxa" w:w="10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w:t>
            </w:r>
          </w:p>
        </w:tc>
      </w:tr>
      <w:tr>
        <w:trPr>
          <w:cantSplit/>
        </w:trPr>
        <w:tc>
          <w:tcPr>
            <w:tcW w:type="dxa" w:w="78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LoRA</w:t>
            </w:r>
          </w:p>
        </w:tc>
        <w:tc>
          <w:tcPr>
            <w:tcW w:type="dxa" w:w="4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1</w:t>
            </w:r>
          </w:p>
        </w:tc>
        <w:tc>
          <w:tcPr>
            <w:tcW w:type="dxa" w:w="7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0.94%</w:t>
            </w:r>
          </w:p>
        </w:tc>
        <w:tc>
          <w:tcPr>
            <w:tcW w:type="dxa" w:w="106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0.807</w:t>
            </w:r>
            <w:r>
              <w:rPr>
                <w:rFonts w:ascii="Times New Roman" w:cs="Times New Roman" w:eastAsia="Times New Roman" w:hAnsi="Times New Roman"/>
                <w:sz w:val="16"/>
                <w:szCs w:val="16"/>
              </w:rPr>
              <w:t xml:space="preserve"> ± .008</w:t>
            </w:r>
          </w:p>
        </w:tc>
        <w:tc>
          <w:tcPr>
            <w:tcW w:type="dxa" w:w="106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0.774</w:t>
            </w:r>
            <w:r>
              <w:rPr>
                <w:rFonts w:ascii="Times New Roman" w:cs="Times New Roman" w:eastAsia="Times New Roman" w:hAnsi="Times New Roman"/>
                <w:sz w:val="16"/>
                <w:szCs w:val="16"/>
              </w:rPr>
              <w:t xml:space="preserve"> ± .008</w:t>
            </w:r>
          </w:p>
        </w:tc>
        <w:tc>
          <w:tcPr>
            <w:tcW w:type="dxa" w:w="100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0.195 ± .037</w:t>
            </w:r>
          </w:p>
        </w:tc>
      </w:tr>
      <w:tr>
        <w:trPr>
          <w:cantSplit/>
        </w:trPr>
        <w:tc>
          <w:tcPr>
            <w:tcW w:type="dxa" w:w="78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Frozen</w:t>
            </w:r>
            <w:r>
              <w:rPr>
                <w:rFonts w:ascii="Times New Roman" w:cs="Times New Roman" w:eastAsia="Times New Roman" w:hAnsi="Times New Roman"/>
                <w:sz w:val="16"/>
                <w:szCs w:val="16"/>
                <w:vertAlign w:val="superscript"/>
              </w:rPr>
              <w:t xml:space="preserve">‡</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2</w:t>
            </w: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0.0037%</w:t>
            </w:r>
          </w:p>
        </w:tc>
        <w:tc>
          <w:tcPr>
            <w:tcW w:type="dxa" w:w="106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0.542</w:t>
            </w:r>
          </w:p>
        </w:tc>
        <w:tc>
          <w:tcPr>
            <w:tcW w:type="dxa" w:w="106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0.550</w:t>
            </w:r>
          </w:p>
        </w:tc>
        <w:tc>
          <w:tcPr>
            <w:tcW w:type="dxa" w:w="10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w:t>
            </w:r>
          </w:p>
        </w:tc>
      </w:tr>
      <w:tr>
        <w:trPr>
          <w:cantSplit/>
        </w:trPr>
        <w:tc>
          <w:tcPr>
            <w:tcW w:type="dxa" w:w="78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left"/>
            </w:pPr>
            <w:r>
              <w:rPr>
                <w:rFonts w:ascii="Times New Roman" w:cs="Times New Roman" w:eastAsia="Times New Roman" w:hAnsi="Times New Roman"/>
                <w:sz w:val="16"/>
                <w:szCs w:val="16"/>
              </w:rPr>
              <w:t xml:space="preserve">LoRA</w:t>
            </w:r>
          </w:p>
        </w:tc>
        <w:tc>
          <w:tcPr>
            <w:tcW w:type="dxa" w:w="4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left"/>
            </w:pPr>
            <w:r>
              <w:rPr>
                <w:rFonts w:ascii="Times New Roman" w:cs="Times New Roman" w:eastAsia="Times New Roman" w:hAnsi="Times New Roman"/>
                <w:sz w:val="16"/>
                <w:szCs w:val="16"/>
              </w:rPr>
              <w:t xml:space="preserve">2</w:t>
            </w:r>
          </w:p>
        </w:tc>
        <w:tc>
          <w:tcPr>
            <w:tcW w:type="dxa" w:w="7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0.94%</w:t>
            </w:r>
          </w:p>
        </w:tc>
        <w:tc>
          <w:tcPr>
            <w:tcW w:type="dxa" w:w="106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b/>
                <w:bCs/>
                <w:sz w:val="16"/>
                <w:szCs w:val="16"/>
              </w:rPr>
              <w:t xml:space="preserve">0.755</w:t>
            </w:r>
            <w:r>
              <w:rPr>
                <w:rFonts w:ascii="Times New Roman" w:cs="Times New Roman" w:eastAsia="Times New Roman" w:hAnsi="Times New Roman"/>
                <w:sz w:val="16"/>
                <w:szCs w:val="16"/>
              </w:rPr>
              <w:t xml:space="preserve"> ± .006</w:t>
            </w:r>
          </w:p>
        </w:tc>
        <w:tc>
          <w:tcPr>
            <w:tcW w:type="dxa" w:w="106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b/>
                <w:bCs/>
                <w:sz w:val="16"/>
                <w:szCs w:val="16"/>
              </w:rPr>
              <w:t xml:space="preserve">0.739</w:t>
            </w:r>
            <w:r>
              <w:rPr>
                <w:rFonts w:ascii="Times New Roman" w:cs="Times New Roman" w:eastAsia="Times New Roman" w:hAnsi="Times New Roman"/>
                <w:sz w:val="16"/>
                <w:szCs w:val="16"/>
              </w:rPr>
              <w:t xml:space="preserve"> ± .005</w:t>
            </w:r>
          </w:p>
        </w:tc>
        <w:tc>
          <w:tcPr>
            <w:tcW w:type="dxa" w:w="100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0.128 ± .005</w:t>
            </w:r>
          </w:p>
        </w:tc>
      </w:tr>
    </w:tbl>
    <w:p>
      <w:pPr>
        <w:spacing w:before="40" w:after="200"/>
        <w:ind w:left="0" w:right="0"/>
        <w:jc w:val="both"/>
      </w:pPr>
      <w:r>
        <w:rPr>
          <w:rFonts w:ascii="Times New Roman" w:cs="Times New Roman" w:eastAsia="Times New Roman" w:hAnsi="Times New Roman"/>
          <w:sz w:val="14"/>
          <w:szCs w:val="14"/>
        </w:rPr>
        <w:t xml:space="preserve">Frozen: frozen backbone, trained head. Train.: share of the 126.5M parameters updated. Cross: macro-F1 on the other group’s test set. </w:t>
      </w:r>
      <w:r>
        <w:rPr>
          <w:rFonts w:ascii="Times New Roman" w:cs="Times New Roman" w:eastAsia="Times New Roman" w:hAnsi="Times New Roman"/>
          <w:sz w:val="14"/>
          <w:szCs w:val="14"/>
          <w:vertAlign w:val="superscript"/>
        </w:rPr>
        <w:t xml:space="preserve">‡</w:t>
      </w:r>
      <w:r>
        <w:rPr>
          <w:rFonts w:ascii="Times New Roman" w:cs="Times New Roman" w:eastAsia="Times New Roman" w:hAnsi="Times New Roman"/>
          <w:sz w:val="14"/>
          <w:szCs w:val="14"/>
        </w:rPr>
        <w:t xml:space="preserve">One seed.</w:t>
      </w:r>
    </w:p>
    <w:p>
      <w:pPr>
        <w:spacing w:before="0" w:after="0" w:line="240"/>
        <w:ind w:firstLine="288"/>
        <w:jc w:val="both"/>
      </w:pPr>
      <w:r>
        <w:rPr>
          <w:rFonts w:ascii="Times New Roman" w:cs="Times New Roman" w:eastAsia="Times New Roman" w:hAnsi="Times New Roman"/>
          <w:sz w:val="20"/>
          <w:szCs w:val="20"/>
        </w:rPr>
        <w:t xml:space="preserve">We see from these results that LoRA is very likely to beat the test macro-F1 for the frozen backbone by 0.068 and 0.189 while using only 0.94% of the parameters. This beats the seed variance of 0.008 (max std) with test accuracies of 0.851 and 0.898. Furthermore, as shown in Figure 3, the greatest gains are seen for the classes where the frozen head was weak: the list items of Group 2 (0.081-0.574), captions (0.294-0.527), and Group 1 headings (0.70-0.87). Paragraphs (0.90-0.94) and tables (0.93) were correctly identified. Group 2 almost entirely relied on Doc Lay Net (macro-F1 0.22 on the 50 forms of FUNSD), exposing the disparity in how form labels map into the common label space. On a different group, the macro-F1’s dropped to 0.195 and 0.128 respectively. These results suggest that the adapter was specialized to a common style, corroborating the hypothesis that each document should be sent to its own style-specific adapter.</w:t>
      </w:r>
    </w:p>
    <w:p>
      <w:pPr>
        <w:spacing w:before="0" w:after="0" w:line="240"/>
        <w:ind w:firstLine="288"/>
        <w:jc w:val="both"/>
      </w:pPr>
      <w:r>
        <w:rPr>
          <w:rFonts w:ascii="Times New Roman" w:cs="Times New Roman" w:eastAsia="Times New Roman" w:hAnsi="Times New Roman"/>
          <w:sz w:val="20"/>
          <w:szCs w:val="20"/>
        </w:rPr>
        <w:t xml:space="preserve">Each adapter has around 1.18 million trainable parameters and is stored in 4.5 MB of memory - given that the full LayoutLMv3 checkpoint requires around 500 MB. This allows a multi-style approach with one layout model. Training time for each is about 260 seconds per epoch for Group 1 and 1,000 seconds per epoch for Group 2 (see Table I). GPU memory usage was capped at 2.9 GB and the validation macro-F1 scores approach within 0.05 of the final value after four to five epochs. Figure 2 shows that the adapters far outperform the frozen head, while the validation loss appears to have plateaued in the frozen head. This suggests the marginally higher performance is in fact due to having more encoder capacity than the frozen head, rather than simply having more training time.</w:t>
      </w:r>
    </w:p>
    <w:p>
      <w:pPr>
        <w:keepNext/>
        <w:keepLines/>
        <w:spacing w:before="120" w:after="60"/>
        <w:jc w:val="center"/>
      </w:pPr>
      <w:r>
        <w:drawing>
          <wp:inline distT="0" distB="0" distL="0" distR="0">
            <wp:extent cx="26289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28900" cy="1714500"/>
                    </a:xfrm>
                    <a:prstGeom prst="rect">
                      <a:avLst/>
                    </a:prstGeom>
                  </pic:spPr>
                </pic:pic>
              </a:graphicData>
            </a:graphic>
          </wp:inline>
        </w:drawing>
      </w:r>
    </w:p>
    <w:p>
      <w:pPr>
        <w:pStyle w:val="NoHyph"/>
        <w:spacing w:before="0" w:after="2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Training (solid) and validation (dashed) loss per epoch (seed means).</w:t>
      </w:r>
    </w:p>
    <w:p>
      <w:pPr>
        <w:keepNext/>
        <w:keepLines/>
        <w:spacing w:before="120" w:after="60"/>
        <w:jc w:val="center"/>
      </w:pPr>
      <w:r>
        <w:drawing>
          <wp:inline distT="0" distB="0" distL="0" distR="0">
            <wp:extent cx="26289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28900" cy="1866900"/>
                    </a:xfrm>
                    <a:prstGeom prst="rect">
                      <a:avLst/>
                    </a:prstGeom>
                  </pic:spPr>
                </pic:pic>
              </a:graphicData>
            </a:graphic>
          </wp:inline>
        </w:drawing>
      </w:r>
    </w:p>
    <w:p>
      <w:pPr>
        <w:pStyle w:val="NoHyph"/>
        <w:spacing w:before="0" w:after="200"/>
        <w:jc w:val="center"/>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Per-class test F1 gain of LoRA over the frozen head.</w:t>
      </w:r>
    </w:p>
    <w:p>
      <w:pPr>
        <w:pStyle w:val="Heading2"/>
      </w:pPr>
      <w:r>
        <w:rPr>
          <w:rFonts w:ascii="Times New Roman" w:cs="Times New Roman" w:eastAsia="Times New Roman" w:hAnsi="Times New Roman"/>
          <w:i/>
          <w:iCs/>
          <w:sz w:val="20"/>
          <w:szCs w:val="20"/>
        </w:rPr>
        <w:t xml:space="preserve">C. End-to-End Extraction</w:t>
      </w:r>
    </w:p>
    <w:p>
      <w:pPr>
        <w:pStyle w:val="NoHyph"/>
        <w:keepNext/>
        <w:spacing w:before="160" w:after="0"/>
        <w:jc w:val="center"/>
      </w:pPr>
      <w:r>
        <w:rPr>
          <w:rFonts w:ascii="Times New Roman" w:cs="Times New Roman" w:eastAsia="Times New Roman" w:hAnsi="Times New Roman"/>
          <w:smallCaps/>
          <w:sz w:val="16"/>
          <w:szCs w:val="16"/>
        </w:rPr>
        <w:t xml:space="preserve">TABLE II</w:t>
      </w:r>
    </w:p>
    <w:p>
      <w:pPr>
        <w:pStyle w:val="NoHyph"/>
        <w:keepNext/>
        <w:spacing w:before="0" w:after="80"/>
        <w:jc w:val="center"/>
      </w:pPr>
      <w:r>
        <w:rPr>
          <w:rFonts w:ascii="Times New Roman" w:cs="Times New Roman" w:eastAsia="Times New Roman" w:hAnsi="Times New Roman"/>
          <w:smallCaps/>
          <w:sz w:val="16"/>
          <w:szCs w:val="16"/>
        </w:rPr>
        <w:t xml:space="preserve">End-to-end token-overlap F1 and exact match (EM).</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80"/>
        <w:gridCol w:w="610"/>
        <w:gridCol w:w="610"/>
        <w:gridCol w:w="610"/>
        <w:gridCol w:w="610"/>
        <w:gridCol w:w="610"/>
        <w:gridCol w:w="610"/>
      </w:tblGrid>
      <w:tr>
        <w:trPr>
          <w:cantSplit/>
        </w:trPr>
        <w:tc>
          <w:tcPr>
            <w:tcW w:type="dxa" w:w="1380"/>
            <w:gridSpan w:val="1"/>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p>
        </w:tc>
        <w:tc>
          <w:tcPr>
            <w:tcW w:type="dxa" w:w="1220"/>
            <w:gridSpan w:val="2"/>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Synthetic (15)</w:t>
            </w:r>
          </w:p>
        </w:tc>
        <w:tc>
          <w:tcPr>
            <w:tcW w:type="dxa" w:w="1220"/>
            <w:gridSpan w:val="2"/>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SROIE (100)</w:t>
            </w:r>
          </w:p>
        </w:tc>
        <w:tc>
          <w:tcPr>
            <w:tcW w:type="dxa" w:w="1220"/>
            <w:gridSpan w:val="2"/>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CORD (50)</w:t>
            </w:r>
          </w:p>
        </w:tc>
      </w:tr>
      <w:tr>
        <w:trPr>
          <w:cantSplit/>
        </w:trPr>
        <w:tc>
          <w:tcPr>
            <w:tcW w:type="dxa" w:w="138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b/>
                <w:bCs/>
                <w:sz w:val="16"/>
                <w:szCs w:val="16"/>
              </w:rPr>
              <w:t xml:space="preserve">System</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F1</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EM</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F1</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EM</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F1</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EM</w:t>
            </w:r>
          </w:p>
        </w:tc>
      </w:tr>
      <w:tr>
        <w:trPr>
          <w:cantSplit/>
        </w:trPr>
        <w:tc>
          <w:tcPr>
            <w:tcW w:type="dxa" w:w="138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VLM only</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0.973</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0.960</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0.992</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0.860</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0.843</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0.900</w:t>
            </w:r>
          </w:p>
        </w:tc>
      </w:tr>
      <w:tr>
        <w:trPr>
          <w:cantSplit/>
        </w:trPr>
        <w:tc>
          <w:tcPr>
            <w:tcW w:type="dxa" w:w="138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OCR-LLM branch</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0.980</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0.973</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0.816</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0.557</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0.818</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0.871</w:t>
            </w:r>
          </w:p>
        </w:tc>
      </w:tr>
      <w:tr>
        <w:trPr>
          <w:cantSplit/>
        </w:trPr>
        <w:tc>
          <w:tcPr>
            <w:tcW w:type="dxa" w:w="138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Donut only</w:t>
            </w:r>
            <w:r>
              <w:rPr>
                <w:rFonts w:ascii="Times New Roman" w:cs="Times New Roman" w:eastAsia="Times New Roman" w:hAnsi="Times New Roman"/>
                <w:sz w:val="16"/>
                <w:szCs w:val="16"/>
                <w:vertAlign w:val="superscript"/>
              </w:rPr>
              <w:t xml:space="preserve">†</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0.257</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0.120</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0.208</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0.107</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0.000</w:t>
            </w:r>
          </w:p>
        </w:tc>
        <w:tc>
          <w:tcPr>
            <w:tcW w:type="dxa" w:w="61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0.000</w:t>
            </w:r>
          </w:p>
        </w:tc>
      </w:tr>
      <w:tr>
        <w:trPr>
          <w:cantSplit/>
        </w:trPr>
        <w:tc>
          <w:tcPr>
            <w:tcW w:type="dxa" w:w="138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Text pass only</w:t>
            </w:r>
            <w:r>
              <w:rPr>
                <w:rFonts w:ascii="Times New Roman" w:cs="Times New Roman" w:eastAsia="Times New Roman" w:hAnsi="Times New Roman"/>
                <w:sz w:val="16"/>
                <w:szCs w:val="16"/>
                <w:vertAlign w:val="superscript"/>
              </w:rPr>
              <w:t xml:space="preserve">†</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0.673</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0.507</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0.666</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0.367</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0.023</w:t>
            </w:r>
          </w:p>
        </w:tc>
        <w:tc>
          <w:tcPr>
            <w:tcW w:type="dxa" w:w="61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0.012</w:t>
            </w:r>
          </w:p>
        </w:tc>
      </w:tr>
      <w:tr>
        <w:trPr>
          <w:cantSplit/>
        </w:trPr>
        <w:tc>
          <w:tcPr>
            <w:tcW w:type="dxa" w:w="138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left"/>
            </w:pPr>
            <w:r>
              <w:rPr>
                <w:rFonts w:ascii="Times New Roman" w:cs="Times New Roman" w:eastAsia="Times New Roman" w:hAnsi="Times New Roman"/>
                <w:sz w:val="16"/>
                <w:szCs w:val="16"/>
              </w:rPr>
              <w:t xml:space="preserve">Full pipeline</w:t>
            </w:r>
          </w:p>
        </w:tc>
        <w:tc>
          <w:tcPr>
            <w:tcW w:type="dxa" w:w="61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b/>
                <w:bCs/>
                <w:sz w:val="16"/>
                <w:szCs w:val="16"/>
              </w:rPr>
              <w:t xml:space="preserve">0.980</w:t>
            </w:r>
          </w:p>
        </w:tc>
        <w:tc>
          <w:tcPr>
            <w:tcW w:type="dxa" w:w="61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b/>
                <w:bCs/>
                <w:sz w:val="16"/>
                <w:szCs w:val="16"/>
              </w:rPr>
              <w:t xml:space="preserve">0.973</w:t>
            </w:r>
          </w:p>
        </w:tc>
        <w:tc>
          <w:tcPr>
            <w:tcW w:type="dxa" w:w="61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0.801</w:t>
            </w:r>
          </w:p>
        </w:tc>
        <w:tc>
          <w:tcPr>
            <w:tcW w:type="dxa" w:w="61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0.547</w:t>
            </w:r>
          </w:p>
        </w:tc>
        <w:tc>
          <w:tcPr>
            <w:tcW w:type="dxa" w:w="61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0.836</w:t>
            </w:r>
          </w:p>
        </w:tc>
        <w:tc>
          <w:tcPr>
            <w:tcW w:type="dxa" w:w="61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b/>
                <w:bCs/>
                <w:sz w:val="16"/>
                <w:szCs w:val="16"/>
              </w:rPr>
              <w:t xml:space="preserve">0.900</w:t>
            </w:r>
          </w:p>
        </w:tc>
      </w:tr>
    </w:tbl>
    <w:p>
      <w:pPr>
        <w:spacing w:before="40" w:after="200"/>
        <w:ind w:left="0" w:right="0"/>
        <w:jc w:val="both"/>
      </w:pPr>
      <w:r>
        <w:rPr>
          <w:rFonts w:ascii="Times New Roman" w:cs="Times New Roman" w:eastAsia="Times New Roman" w:hAnsi="Times New Roman"/>
          <w:sz w:val="14"/>
          <w:szCs w:val="14"/>
        </w:rPr>
        <w:t xml:space="preserve">VLM only: Qwen2.5-VL-7B on the page image and schema. Text pass: text-only first pass of the OCR-LLM branch. </w:t>
      </w:r>
      <w:r>
        <w:rPr>
          <w:rFonts w:ascii="Times New Roman" w:cs="Times New Roman" w:eastAsia="Times New Roman" w:hAnsi="Times New Roman"/>
          <w:sz w:val="14"/>
          <w:szCs w:val="14"/>
          <w:vertAlign w:val="superscript"/>
        </w:rPr>
        <w:t xml:space="preserve">†</w:t>
      </w:r>
      <w:r>
        <w:rPr>
          <w:rFonts w:ascii="Times New Roman" w:cs="Times New Roman" w:eastAsia="Times New Roman" w:hAnsi="Times New Roman"/>
          <w:sz w:val="14"/>
          <w:szCs w:val="14"/>
        </w:rPr>
        <w:t xml:space="preserve">Limited by sparse OCR on CORD.</w:t>
      </w:r>
    </w:p>
    <w:p>
      <w:pPr>
        <w:spacing w:before="0" w:after="0" w:line="240"/>
        <w:ind w:firstLine="288"/>
        <w:jc w:val="both"/>
      </w:pPr>
      <w:r>
        <w:rPr>
          <w:rFonts w:ascii="Times New Roman" w:cs="Times New Roman" w:eastAsia="Times New Roman" w:hAnsi="Times New Roman"/>
          <w:sz w:val="20"/>
          <w:szCs w:val="20"/>
        </w:rPr>
        <w:t xml:space="preserve">Results: Table II presents the main results. On synthetic multi-page, the domain closest to the use case that inspired the design, the complete pipeline beats the VLM (0.973 and 0.960 F1 and EM respectively) on the 0.980 and 0.973 F1 and EM. CORD fusion adds 0.018 and 0.029 (F1 and EM) to the OCR-LLM branch, matching the VLM’s exact-match rate and recall, both 0.900, and falling short of it by 0.007 F1. SROIE (and for that matter, on most pages of multi-page), the VLM remains the strongest system with 0.992; the pipeline remains within 0.015 F1 of the OCR-LLM branch (which alone has an exact-match rate of 0.78 and 0.654 EM rate, and reaches 0.98 F1). Neither the specialized OCR-LLM branch alone nor the pipeline are competitive at just extracting text: Donut reaches at best 0.257 F1 with 0.673 pass rate, whereas the OCR-LLM branch with visual fallback and the fusion pass 0.80–0.98.</w:t>
      </w:r>
    </w:p>
    <w:p>
      <w:pPr>
        <w:spacing w:before="0" w:after="0" w:line="240"/>
        <w:ind w:firstLine="288"/>
        <w:jc w:val="both"/>
      </w:pPr>
      <w:r>
        <w:rPr>
          <w:rFonts w:ascii="Times New Roman" w:cs="Times New Roman" w:eastAsia="Times New Roman" w:hAnsi="Times New Roman"/>
          <w:sz w:val="20"/>
          <w:szCs w:val="20"/>
        </w:rPr>
        <w:t xml:space="preserve">The VLM is only one part of the whole pipeline. The VLM serves as a visual fallback of the OCR-LLM branch. The success on SROIE, which has four fields per page, indicates that visual routes could be helpful, and the logic rules from Algorithm 1 could also be used on the output of the VLM, which is the third source of evidence.</w:t>
      </w:r>
    </w:p>
    <w:p>
      <w:pPr>
        <w:pStyle w:val="Heading2"/>
      </w:pPr>
      <w:r>
        <w:rPr>
          <w:rFonts w:ascii="Times New Roman" w:cs="Times New Roman" w:eastAsia="Times New Roman" w:hAnsi="Times New Roman"/>
          <w:i/>
          <w:iCs/>
          <w:sz w:val="20"/>
          <w:szCs w:val="20"/>
        </w:rPr>
        <w:t xml:space="preserve">D. Ablation</w:t>
      </w:r>
    </w:p>
    <w:p>
      <w:pPr>
        <w:pStyle w:val="NoHyph"/>
        <w:keepNext/>
        <w:spacing w:before="160" w:after="0"/>
        <w:jc w:val="center"/>
      </w:pPr>
      <w:r>
        <w:rPr>
          <w:rFonts w:ascii="Times New Roman" w:cs="Times New Roman" w:eastAsia="Times New Roman" w:hAnsi="Times New Roman"/>
          <w:smallCaps/>
          <w:sz w:val="16"/>
          <w:szCs w:val="16"/>
        </w:rPr>
        <w:t xml:space="preserve">TABLE III</w:t>
      </w:r>
    </w:p>
    <w:p>
      <w:pPr>
        <w:pStyle w:val="NoHyph"/>
        <w:keepNext/>
        <w:spacing w:before="0" w:after="80"/>
        <w:jc w:val="center"/>
      </w:pPr>
      <w:r>
        <w:rPr>
          <w:rFonts w:ascii="Times New Roman" w:cs="Times New Roman" w:eastAsia="Times New Roman" w:hAnsi="Times New Roman"/>
          <w:smallCaps/>
          <w:sz w:val="16"/>
          <w:szCs w:val="16"/>
        </w:rPr>
        <w:t xml:space="preserve">Ablation (token-overlap F1; CORD hallucination rate in parentheses).</w:t>
      </w:r>
    </w:p>
    <w:tbl>
      <w:tblPr>
        <w:tblW w:type="dxa" w:w="49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900"/>
        <w:gridCol w:w="1300"/>
      </w:tblGrid>
      <w:tr>
        <w:trPr>
          <w:cantSplit/>
        </w:trPr>
        <w:tc>
          <w:tcPr>
            <w:tcW w:type="dxa" w:w="270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b/>
                <w:bCs/>
                <w:sz w:val="16"/>
                <w:szCs w:val="16"/>
              </w:rPr>
              <w:t xml:space="preserve">Variant</w:t>
            </w:r>
          </w:p>
        </w:tc>
        <w:tc>
          <w:tcPr>
            <w:tcW w:type="dxa" w:w="90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SROIE</w:t>
            </w:r>
          </w:p>
        </w:tc>
        <w:tc>
          <w:tcPr>
            <w:tcW w:type="dxa" w:w="1300"/>
            <w:gridSpan w:val="1"/>
            <w:tcBorders>
              <w:top w:val="single" w:color="000000" w:sz="12"/>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CORD</w:t>
            </w:r>
          </w:p>
        </w:tc>
      </w:tr>
      <w:tr>
        <w:trPr>
          <w:cantSplit/>
        </w:trPr>
        <w:tc>
          <w:tcPr>
            <w:tcW w:type="dxa" w:w="27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Full pipeline</w:t>
            </w:r>
          </w:p>
        </w:tc>
        <w:tc>
          <w:tcPr>
            <w:tcW w:type="dxa" w:w="9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0.801</w:t>
            </w:r>
          </w:p>
        </w:tc>
        <w:tc>
          <w:tcPr>
            <w:tcW w:type="dxa" w:w="13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b/>
                <w:bCs/>
                <w:sz w:val="16"/>
                <w:szCs w:val="16"/>
              </w:rPr>
              <w:t xml:space="preserve">0.836</w:t>
            </w:r>
            <w:r>
              <w:rPr>
                <w:rFonts w:ascii="Times New Roman" w:cs="Times New Roman" w:eastAsia="Times New Roman" w:hAnsi="Times New Roman"/>
                <w:sz w:val="16"/>
                <w:szCs w:val="16"/>
              </w:rPr>
              <w:t xml:space="preserve"> (0.148)</w:t>
            </w:r>
          </w:p>
        </w:tc>
      </w:tr>
      <w:tr>
        <w:trPr>
          <w:cantSplit/>
        </w:trPr>
        <w:tc>
          <w:tcPr>
            <w:tcW w:type="dxa" w:w="27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ind w:left="120"/>
              <w:jc w:val="left"/>
            </w:pPr>
            <w:r>
              <w:rPr>
                <w:rFonts w:ascii="Times New Roman" w:cs="Times New Roman" w:eastAsia="Times New Roman" w:hAnsi="Times New Roman"/>
                <w:sz w:val="16"/>
                <w:szCs w:val="16"/>
              </w:rPr>
              <w:t xml:space="preserve">without grounding of Donut answers</w:t>
            </w:r>
          </w:p>
        </w:tc>
        <w:tc>
          <w:tcPr>
            <w:tcW w:type="dxa" w:w="9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0.770</w:t>
            </w:r>
          </w:p>
        </w:tc>
        <w:tc>
          <w:tcPr>
            <w:tcW w:type="dxa" w:w="13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0.825 (0.148)</w:t>
            </w:r>
          </w:p>
        </w:tc>
      </w:tr>
      <w:tr>
        <w:trPr>
          <w:cantSplit/>
        </w:trPr>
        <w:tc>
          <w:tcPr>
            <w:tcW w:type="dxa" w:w="27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ind w:left="120"/>
              <w:jc w:val="left"/>
            </w:pPr>
            <w:r>
              <w:rPr>
                <w:rFonts w:ascii="Times New Roman" w:cs="Times New Roman" w:eastAsia="Times New Roman" w:hAnsi="Times New Roman"/>
                <w:sz w:val="16"/>
                <w:szCs w:val="16"/>
              </w:rPr>
              <w:t xml:space="preserve">without schema-agent repair</w:t>
            </w:r>
          </w:p>
        </w:tc>
        <w:tc>
          <w:tcPr>
            <w:tcW w:type="dxa" w:w="9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0.799</w:t>
            </w:r>
          </w:p>
        </w:tc>
        <w:tc>
          <w:tcPr>
            <w:tcW w:type="dxa" w:w="13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0.836 (0.148)</w:t>
            </w:r>
          </w:p>
        </w:tc>
      </w:tr>
      <w:tr>
        <w:trPr>
          <w:cantSplit/>
        </w:trPr>
        <w:tc>
          <w:tcPr>
            <w:tcW w:type="dxa" w:w="27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ind w:left="120"/>
              <w:jc w:val="left"/>
            </w:pPr>
            <w:r>
              <w:rPr>
                <w:rFonts w:ascii="Times New Roman" w:cs="Times New Roman" w:eastAsia="Times New Roman" w:hAnsi="Times New Roman"/>
                <w:sz w:val="16"/>
                <w:szCs w:val="16"/>
              </w:rPr>
              <w:t xml:space="preserve">without value normalization</w:t>
            </w:r>
          </w:p>
        </w:tc>
        <w:tc>
          <w:tcPr>
            <w:tcW w:type="dxa" w:w="9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0.799</w:t>
            </w:r>
          </w:p>
        </w:tc>
        <w:tc>
          <w:tcPr>
            <w:tcW w:type="dxa" w:w="13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0.836 (0.148)</w:t>
            </w:r>
          </w:p>
        </w:tc>
      </w:tr>
      <w:tr>
        <w:trPr>
          <w:cantSplit/>
        </w:trPr>
        <w:tc>
          <w:tcPr>
            <w:tcW w:type="dxa" w:w="27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ind w:left="120"/>
              <w:jc w:val="left"/>
            </w:pPr>
            <w:r>
              <w:rPr>
                <w:rFonts w:ascii="Times New Roman" w:cs="Times New Roman" w:eastAsia="Times New Roman" w:hAnsi="Times New Roman"/>
                <w:sz w:val="16"/>
                <w:szCs w:val="16"/>
              </w:rPr>
              <w:t xml:space="preserve">without spatial-field rule</w:t>
            </w:r>
          </w:p>
        </w:tc>
        <w:tc>
          <w:tcPr>
            <w:tcW w:type="dxa" w:w="9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0.799</w:t>
            </w:r>
          </w:p>
        </w:tc>
        <w:tc>
          <w:tcPr>
            <w:tcW w:type="dxa" w:w="13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0.836 (0.148)</w:t>
            </w:r>
          </w:p>
        </w:tc>
      </w:tr>
      <w:tr>
        <w:trPr>
          <w:cantSplit/>
        </w:trPr>
        <w:tc>
          <w:tcPr>
            <w:tcW w:type="dxa" w:w="27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ind w:left="120"/>
              <w:jc w:val="left"/>
            </w:pPr>
            <w:r>
              <w:rPr>
                <w:rFonts w:ascii="Times New Roman" w:cs="Times New Roman" w:eastAsia="Times New Roman" w:hAnsi="Times New Roman"/>
                <w:sz w:val="16"/>
                <w:szCs w:val="16"/>
              </w:rPr>
              <w:t xml:space="preserve">Donut fills all empty fields</w:t>
            </w:r>
          </w:p>
        </w:tc>
        <w:tc>
          <w:tcPr>
            <w:tcW w:type="dxa" w:w="9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0.801</w:t>
            </w:r>
          </w:p>
        </w:tc>
        <w:tc>
          <w:tcPr>
            <w:tcW w:type="dxa" w:w="130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0.810 (0.192)</w:t>
            </w:r>
          </w:p>
        </w:tc>
      </w:tr>
      <w:tr>
        <w:trPr>
          <w:cantSplit/>
        </w:trPr>
        <w:tc>
          <w:tcPr>
            <w:tcW w:type="dxa" w:w="270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ind w:left="120"/>
              <w:jc w:val="left"/>
            </w:pPr>
            <w:r>
              <w:rPr>
                <w:rFonts w:ascii="Times New Roman" w:cs="Times New Roman" w:eastAsia="Times New Roman" w:hAnsi="Times New Roman"/>
                <w:sz w:val="16"/>
                <w:szCs w:val="16"/>
              </w:rPr>
              <w:t xml:space="preserve">Donut fills no empty fields</w:t>
            </w:r>
          </w:p>
        </w:tc>
        <w:tc>
          <w:tcPr>
            <w:tcW w:type="dxa" w:w="90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0.801</w:t>
            </w:r>
          </w:p>
        </w:tc>
        <w:tc>
          <w:tcPr>
            <w:tcW w:type="dxa" w:w="130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0.836 (0.148)</w:t>
            </w:r>
          </w:p>
        </w:tc>
      </w:tr>
    </w:tbl>
    <w:p>
      <w:pPr>
        <w:spacing w:before="40" w:after="120"/>
        <w:ind w:left="70" w:right="70"/>
        <w:jc w:val="both"/>
      </w:pPr>
    </w:p>
    <w:p>
      <w:pPr>
        <w:spacing w:before="0" w:after="0" w:line="240"/>
        <w:ind w:firstLine="288"/>
        <w:jc w:val="both"/>
      </w:pPr>
      <w:r>
        <w:rPr>
          <w:rFonts w:ascii="Times New Roman" w:cs="Times New Roman" w:eastAsia="Times New Roman" w:hAnsi="Times New Roman"/>
          <w:sz w:val="20"/>
          <w:szCs w:val="20"/>
        </w:rPr>
        <w:t xml:space="preserve">For each of the variants in the synthetic set, F1 is identical to running the full pipeline: 0.980. These figures are used to generate the all-variant results in Table III for the SROIE and CORD data sets. Grounding is probably the biggest factor; when absent, it reduces F1 by 0.031 and 0.011 on the SROIE and CORD data respectively. For SROIE, the median per-receipt F1 falls from 0.850 to 0.788; 8% of receipts have an F1 at or below 0.5, roughly doubling hallucination rate from 0.148 to 0.192. Defaulting to filling all fields in the table that are empty by default can statistically significantly lower Donut’s F1 on CORD from 0.862 to 0.810, and increase the hallucination rate from 0.148 to 0.192; this default was used before the first test iteration. Schema-agent repair, normalization, and spatial rule can cause maximum differences of 0.002, 0.004, and 0.002 respectively over these short receipts, although these can be relevant and desirable for longer documents where normalization and cross-field check are more critical.</w:t>
      </w:r>
    </w:p>
    <w:p>
      <w:pPr>
        <w:pStyle w:val="Heading2"/>
      </w:pPr>
      <w:r>
        <w:rPr>
          <w:rFonts w:ascii="Times New Roman" w:cs="Times New Roman" w:eastAsia="Times New Roman" w:hAnsi="Times New Roman"/>
          <w:i/>
          <w:iCs/>
          <w:sz w:val="20"/>
          <w:szCs w:val="20"/>
        </w:rPr>
        <w:t xml:space="preserve">E. Audit Trail and Error Attribution</w:t>
      </w:r>
    </w:p>
    <w:p>
      <w:pPr>
        <w:spacing w:before="0" w:after="0" w:line="240"/>
        <w:ind w:firstLine="288"/>
        <w:jc w:val="both"/>
      </w:pPr>
      <w:r>
        <w:rPr>
          <w:rFonts w:ascii="Times New Roman" w:cs="Times New Roman" w:eastAsia="Times New Roman" w:hAnsi="Times New Roman"/>
          <w:sz w:val="20"/>
          <w:szCs w:val="20"/>
        </w:rPr>
        <w:t xml:space="preserve">Since every fused value is recorded along with its selection rule, the difference between the pipeline and its OCR-LLM branch can be directly measured with respect to that rule. The per-field F1 scores for each document, averaged as in Table II, are displayed in Table IV. On CORD, the fused pipeline outperforms or matches its branch on every field, matching the VLM on fields such as subtotal, tax, total, and cash. The policy only changes 6 values, 5 of which were improved (including 1 cash amount and 4 filled amounts) with no incorrect changes. On SROIE, 21 of 400 values are changed, 6 are improved (3 company names, 2 totals, 1 address), and 1 does not change the score. 14 are addresses, each of the 15 address overrides was of the same rule: Malaysian addresses are sometimes longer than 10 words, so the clause test fails on the correct value, which is replaced by the fragment of the short Donut, resulting in a difference of a single rule between the pipeline and its branch. This can be fixed by filtering the clause test to only clause-type fields, which is implemented in the policy as it was before this paper was written.</w:t>
      </w:r>
    </w:p>
    <w:p>
      <w:pPr>
        <w:pStyle w:val="NoHyph"/>
        <w:keepNext/>
        <w:spacing w:before="160" w:after="0"/>
        <w:jc w:val="center"/>
      </w:pPr>
      <w:r>
        <w:rPr>
          <w:rFonts w:ascii="Times New Roman" w:cs="Times New Roman" w:eastAsia="Times New Roman" w:hAnsi="Times New Roman"/>
          <w:smallCaps/>
          <w:sz w:val="16"/>
          <w:szCs w:val="16"/>
        </w:rPr>
        <w:t xml:space="preserve">TABLE IV</w:t>
      </w:r>
    </w:p>
    <w:p>
      <w:pPr>
        <w:pStyle w:val="NoHyph"/>
        <w:keepNext/>
        <w:spacing w:before="0" w:after="80"/>
        <w:jc w:val="center"/>
      </w:pPr>
      <w:r>
        <w:rPr>
          <w:rFonts w:ascii="Times New Roman" w:cs="Times New Roman" w:eastAsia="Times New Roman" w:hAnsi="Times New Roman"/>
          <w:smallCaps/>
          <w:sz w:val="16"/>
          <w:szCs w:val="16"/>
        </w:rPr>
        <w:t xml:space="preserve">Per-field token-overlap F1.</w:t>
      </w:r>
    </w:p>
    <w:tbl>
      <w:tblPr>
        <w:tblW w:type="dxa" w:w="488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0"/>
        <w:gridCol w:w="420"/>
        <w:gridCol w:w="820"/>
        <w:gridCol w:w="420"/>
        <w:gridCol w:w="120"/>
        <w:gridCol w:w="720"/>
        <w:gridCol w:w="420"/>
        <w:gridCol w:w="820"/>
        <w:gridCol w:w="420"/>
      </w:tblGrid>
      <w:tr>
        <w:trPr>
          <w:cantSplit/>
        </w:trPr>
        <w:tc>
          <w:tcPr>
            <w:tcW w:type="dxa" w:w="2380"/>
            <w:gridSpan w:val="4"/>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SROIE (100)</w:t>
            </w:r>
          </w:p>
        </w:tc>
        <w:tc>
          <w:tcPr>
            <w:tcW w:type="dxa" w:w="120"/>
            <w:gridSpan w:val="1"/>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2380"/>
            <w:gridSpan w:val="4"/>
            <w:tcBorders>
              <w:top w:val="single" w:color="000000" w:sz="12"/>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CORD (50)</w:t>
            </w:r>
          </w:p>
        </w:tc>
      </w:tr>
      <w:tr>
        <w:trPr>
          <w:cantSplit/>
        </w:trPr>
        <w:tc>
          <w:tcPr>
            <w:tcW w:type="dxa" w:w="7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b/>
                <w:bCs/>
                <w:sz w:val="16"/>
                <w:szCs w:val="16"/>
              </w:rPr>
              <w:t xml:space="preserve">Field</w:t>
            </w:r>
          </w:p>
        </w:tc>
        <w:tc>
          <w:tcPr>
            <w:tcW w:type="dxa" w:w="4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VLM</w:t>
            </w:r>
          </w:p>
        </w:tc>
        <w:tc>
          <w:tcPr>
            <w:tcW w:type="dxa" w:w="8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OCR-LLM</w:t>
            </w:r>
          </w:p>
        </w:tc>
        <w:tc>
          <w:tcPr>
            <w:tcW w:type="dxa" w:w="4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Full</w:t>
            </w:r>
          </w:p>
        </w:tc>
        <w:tc>
          <w:tcPr>
            <w:tcW w:type="dxa" w:w="1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7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b/>
                <w:bCs/>
                <w:sz w:val="16"/>
                <w:szCs w:val="16"/>
              </w:rPr>
              <w:t xml:space="preserve">Field</w:t>
            </w:r>
          </w:p>
        </w:tc>
        <w:tc>
          <w:tcPr>
            <w:tcW w:type="dxa" w:w="4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VLM</w:t>
            </w:r>
          </w:p>
        </w:tc>
        <w:tc>
          <w:tcPr>
            <w:tcW w:type="dxa" w:w="8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OCR-LLM</w:t>
            </w:r>
          </w:p>
        </w:tc>
        <w:tc>
          <w:tcPr>
            <w:tcW w:type="dxa" w:w="420"/>
            <w:gridSpan w:val="1"/>
            <w:tcBorders>
              <w:top w:val="none" w:color="FFFFFF" w:sz="0"/>
              <w:left w:val="none" w:color="FFFFFF" w:sz="0"/>
              <w:bottom w:val="single" w:color="000000" w:sz="6"/>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Full</w:t>
            </w:r>
          </w:p>
        </w:tc>
      </w:tr>
      <w:tr>
        <w:trPr>
          <w:cantSplit/>
        </w:trPr>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company</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0.99</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0.76</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0.77</w:t>
            </w:r>
          </w:p>
        </w:tc>
        <w:tc>
          <w:tcPr>
            <w:tcW w:type="dxa" w:w="1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subtotal</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0.78</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0.75</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0.78</w:t>
            </w:r>
          </w:p>
        </w:tc>
      </w:tr>
      <w:tr>
        <w:trPr>
          <w:cantSplit/>
        </w:trPr>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date</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0.99</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0.92</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0.92</w:t>
            </w:r>
          </w:p>
        </w:tc>
        <w:tc>
          <w:tcPr>
            <w:tcW w:type="dxa" w:w="1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tax</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0.74</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0.71</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0.74</w:t>
            </w:r>
          </w:p>
        </w:tc>
      </w:tr>
      <w:tr>
        <w:trPr>
          <w:cantSplit/>
        </w:trPr>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address</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0.99</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0.84</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0.76</w:t>
            </w:r>
          </w:p>
        </w:tc>
        <w:tc>
          <w:tcPr>
            <w:tcW w:type="dxa" w:w="1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total</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0.86</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0.84</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0.86</w:t>
            </w:r>
          </w:p>
        </w:tc>
      </w:tr>
      <w:tr>
        <w:trPr>
          <w:cantSplit/>
        </w:trPr>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total</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1.00</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0.75</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0.76</w:t>
            </w:r>
          </w:p>
        </w:tc>
        <w:tc>
          <w:tcPr>
            <w:tcW w:type="dxa" w:w="1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cash</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0.87</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0.84</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0.87</w:t>
            </w:r>
          </w:p>
        </w:tc>
      </w:tr>
      <w:tr>
        <w:trPr>
          <w:cantSplit/>
        </w:trPr>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1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p>
        </w:tc>
        <w:tc>
          <w:tcPr>
            <w:tcW w:type="dxa" w:w="7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left"/>
            </w:pPr>
            <w:r>
              <w:rPr>
                <w:rFonts w:ascii="Times New Roman" w:cs="Times New Roman" w:eastAsia="Times New Roman" w:hAnsi="Times New Roman"/>
                <w:sz w:val="16"/>
                <w:szCs w:val="16"/>
              </w:rPr>
              <w:t xml:space="preserve">change</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0.91</w:t>
            </w:r>
          </w:p>
        </w:tc>
        <w:tc>
          <w:tcPr>
            <w:tcW w:type="dxa" w:w="8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0.90</w:t>
            </w:r>
          </w:p>
        </w:tc>
        <w:tc>
          <w:tcPr>
            <w:tcW w:type="dxa" w:w="420"/>
            <w:gridSpan w:val="1"/>
            <w:tcBorders>
              <w:top w:val="none" w:color="FFFFFF" w:sz="0"/>
              <w:left w:val="none" w:color="FFFFFF" w:sz="0"/>
              <w:bottom w:val="none" w:color="FFFFFF" w:sz="0"/>
              <w:right w:val="none" w:color="FFFFFF" w:sz="0"/>
            </w:tcBorders>
            <w:tcMar>
              <w:top w:type="dxa" w:w="15"/>
              <w:left w:type="dxa" w:w="30"/>
              <w:bottom w:type="dxa" w:w="15"/>
              <w:right w:type="dxa" w:w="30"/>
            </w:tcMar>
            <w:vAlign w:val="center"/>
          </w:tcPr>
          <w:p>
            <w:pPr>
              <w:pStyle w:val="NoHyph"/>
              <w:keepNext/>
              <w:keepLines/>
              <w:spacing w:before="0" w:after="0" w:line="240"/>
              <w:jc w:val="center"/>
            </w:pPr>
            <w:r>
              <w:rPr>
                <w:rFonts w:ascii="Times New Roman" w:cs="Times New Roman" w:eastAsia="Times New Roman" w:hAnsi="Times New Roman"/>
                <w:sz w:val="16"/>
                <w:szCs w:val="16"/>
              </w:rPr>
              <w:t xml:space="preserve">0.90</w:t>
            </w:r>
          </w:p>
        </w:tc>
      </w:tr>
      <w:tr>
        <w:trPr>
          <w:cantSplit/>
        </w:trPr>
        <w:tc>
          <w:tcPr>
            <w:tcW w:type="dxa" w:w="7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left"/>
            </w:pPr>
          </w:p>
        </w:tc>
        <w:tc>
          <w:tcPr>
            <w:tcW w:type="dxa" w:w="4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p>
        </w:tc>
        <w:tc>
          <w:tcPr>
            <w:tcW w:type="dxa" w:w="8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p>
        </w:tc>
        <w:tc>
          <w:tcPr>
            <w:tcW w:type="dxa" w:w="4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p>
        </w:tc>
        <w:tc>
          <w:tcPr>
            <w:tcW w:type="dxa" w:w="1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p>
        </w:tc>
        <w:tc>
          <w:tcPr>
            <w:tcW w:type="dxa" w:w="7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left"/>
            </w:pPr>
            <w:r>
              <w:rPr>
                <w:rFonts w:ascii="Times New Roman" w:cs="Times New Roman" w:eastAsia="Times New Roman" w:hAnsi="Times New Roman"/>
                <w:sz w:val="16"/>
                <w:szCs w:val="16"/>
              </w:rPr>
              <w:t xml:space="preserve">credit c.</w:t>
            </w:r>
          </w:p>
        </w:tc>
        <w:tc>
          <w:tcPr>
            <w:tcW w:type="dxa" w:w="4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1.00</w:t>
            </w:r>
          </w:p>
        </w:tc>
        <w:tc>
          <w:tcPr>
            <w:tcW w:type="dxa" w:w="8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0.89</w:t>
            </w:r>
          </w:p>
        </w:tc>
        <w:tc>
          <w:tcPr>
            <w:tcW w:type="dxa" w:w="420"/>
            <w:gridSpan w:val="1"/>
            <w:tcBorders>
              <w:top w:val="none" w:color="FFFFFF" w:sz="0"/>
              <w:left w:val="none" w:color="FFFFFF" w:sz="0"/>
              <w:bottom w:val="single" w:color="000000" w:sz="12"/>
              <w:right w:val="none" w:color="FFFFFF" w:sz="0"/>
            </w:tcBorders>
            <w:tcMar>
              <w:top w:type="dxa" w:w="15"/>
              <w:left w:type="dxa" w:w="30"/>
              <w:bottom w:type="dxa" w:w="15"/>
              <w:right w:type="dxa" w:w="30"/>
            </w:tcMar>
            <w:vAlign w:val="center"/>
          </w:tcPr>
          <w:p>
            <w:pPr>
              <w:pStyle w:val="NoHyph"/>
              <w:keepNext w:val="false"/>
              <w:keepLines/>
              <w:spacing w:before="0" w:after="0" w:line="240"/>
              <w:jc w:val="center"/>
            </w:pPr>
            <w:r>
              <w:rPr>
                <w:rFonts w:ascii="Times New Roman" w:cs="Times New Roman" w:eastAsia="Times New Roman" w:hAnsi="Times New Roman"/>
                <w:sz w:val="16"/>
                <w:szCs w:val="16"/>
              </w:rPr>
              <w:t xml:space="preserve">0.89</w:t>
            </w:r>
          </w:p>
        </w:tc>
      </w:tr>
    </w:tbl>
    <w:p>
      <w:pPr>
        <w:spacing w:before="40" w:after="120"/>
        <w:ind w:left="80" w:right="80"/>
        <w:jc w:val="both"/>
      </w:pPr>
    </w:p>
    <w:p>
      <w:pPr>
        <w:spacing w:before="0" w:after="0" w:line="240"/>
        <w:ind w:firstLine="288"/>
        <w:jc w:val="both"/>
      </w:pPr>
      <w:r>
        <w:rPr>
          <w:rFonts w:ascii="Times New Roman" w:cs="Times New Roman" w:eastAsia="Times New Roman" w:hAnsi="Times New Roman"/>
          <w:sz w:val="20"/>
          <w:szCs w:val="20"/>
        </w:rPr>
        <w:t xml:space="preserve">Figure 4 shows the composition of CORD hallucination rate is similar between all systems (0.148 pipeline, 0.151 OCR-LLM branch, 0.135 VLM). We hypothesize that this is an annotation effect: each system emits 18 values for subtotal, five for tax, and two for total; change and credit-card values emit 1 value for the VLM and 4 for the others. For the VLM, 16 of the 18 emitted subtotals duplicate a gold field from the same receipt, generally the total and especially on receipts where there is no printed subtotal line. Removing subtotals reduces the hallucination rate for the VLM to 5.6%. CORD illustrates the dependence of grounding on OCR coverage: the Tesseract OCR produces ~11 text blocks per CORD receipt, compared to 29.5 on SROIE. Accordingly, grounding removes near-all of Donut answers ( 6 per receipt before grounding), and the Donut-only and text-pass rows in Table II are an orthogonal measure of OCR coverage rather than performance; an OCR engine with greater coverage should preserve information via grounding.</w:t>
      </w:r>
    </w:p>
    <w:p>
      <w:pPr>
        <w:keepNext/>
        <w:keepLines/>
        <w:spacing w:before="120" w:after="60"/>
        <w:jc w:val="center"/>
      </w:pPr>
      <w:r>
        <w:drawing>
          <wp:inline distT="0" distB="0" distL="0" distR="0">
            <wp:extent cx="26289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28900" cy="1562100"/>
                    </a:xfrm>
                    <a:prstGeom prst="rect">
                      <a:avLst/>
                    </a:prstGeom>
                  </pic:spPr>
                </pic:pic>
              </a:graphicData>
            </a:graphic>
          </wp:inline>
        </w:drawing>
      </w:r>
    </w:p>
    <w:p>
      <w:pPr>
        <w:pStyle w:val="NoHyph"/>
        <w:spacing w:before="0" w:after="200"/>
        <w:jc w:val="center"/>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CORD: predicted values where the gold value is empty.</w:t>
      </w:r>
    </w:p>
    <w:p>
      <w:pPr>
        <w:pStyle w:val="Heading2"/>
      </w:pPr>
      <w:r>
        <w:rPr>
          <w:rFonts w:ascii="Times New Roman" w:cs="Times New Roman" w:eastAsia="Times New Roman" w:hAnsi="Times New Roman"/>
          <w:i/>
          <w:iCs/>
          <w:sz w:val="20"/>
          <w:szCs w:val="20"/>
        </w:rPr>
        <w:t xml:space="preserve">F. Latency</w:t>
      </w:r>
    </w:p>
    <w:p>
      <w:pPr>
        <w:spacing w:before="0" w:after="0" w:line="240"/>
        <w:ind w:firstLine="288"/>
        <w:jc w:val="both"/>
      </w:pPr>
      <w:r>
        <w:rPr>
          <w:rFonts w:ascii="Times New Roman" w:cs="Times New Roman" w:eastAsia="Times New Roman" w:hAnsi="Times New Roman"/>
          <w:sz w:val="20"/>
          <w:szCs w:val="20"/>
        </w:rPr>
        <w:t xml:space="preserve">Timing analysis was performed for 15 documents, five from each set after the initial warm-up was thrown away, with response caching disabled. Each stage was run sequentially, and the median result plotted in Figure 5. Timing analysis of CORD VLM was omitted as Ollama seemed to have answered from its prompt cache. Fusion takes under 3 ms to complete, with OCR taking about 1.2 seconds. In addition, on the SROIE set, where the text pass saturates all fields, the entire pipeline takes 14.3 s per receipt versus 19.5 s for a single VLM call, and, on CORD set, where the text pass only fills sparse fields so vision fallback is required, the median timing of the entire pipeline is 29.7 seconds. For synthetic multi-page documents, the median timing is 24.4 seconds, 17 seconds of which is the Donut component. Running both the two branches in parallel during deployment likely restricts the extraction time to that of the slower branch rather than summing the time of the two branches.</w:t>
      </w:r>
    </w:p>
    <w:p>
      <w:pPr>
        <w:keepNext/>
        <w:keepLines/>
        <w:spacing w:before="120" w:after="60"/>
        <w:jc w:val="center"/>
      </w:pPr>
      <w:r>
        <w:drawing>
          <wp:inline distT="0" distB="0" distL="0" distR="0">
            <wp:extent cx="26289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28900" cy="1524000"/>
                    </a:xfrm>
                    <a:prstGeom prst="rect">
                      <a:avLst/>
                    </a:prstGeom>
                  </pic:spPr>
                </pic:pic>
              </a:graphicData>
            </a:graphic>
          </wp:inline>
        </w:drawing>
      </w:r>
    </w:p>
    <w:p>
      <w:pPr>
        <w:pStyle w:val="NoHyph"/>
        <w:spacing w:before="0" w:after="20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Median seconds per document by stage, against a standalone VLM call.</w:t>
      </w:r>
    </w:p>
    <w:p>
      <w:pPr>
        <w:pStyle w:val="Heading2"/>
      </w:pPr>
      <w:r>
        <w:rPr>
          <w:rFonts w:ascii="Times New Roman" w:cs="Times New Roman" w:eastAsia="Times New Roman" w:hAnsi="Times New Roman"/>
          <w:i/>
          <w:iCs/>
          <w:sz w:val="20"/>
          <w:szCs w:val="20"/>
        </w:rPr>
        <w:t xml:space="preserve">G. Schema Registry Retrieval</w:t>
      </w:r>
    </w:p>
    <w:p>
      <w:pPr>
        <w:keepNext/>
        <w:keepLines/>
        <w:spacing w:before="120" w:after="60"/>
        <w:jc w:val="center"/>
      </w:pPr>
      <w:r>
        <w:drawing>
          <wp:inline distT="0" distB="0" distL="0" distR="0">
            <wp:extent cx="223837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1524000"/>
                    </a:xfrm>
                    <a:prstGeom prst="rect">
                      <a:avLst/>
                    </a:prstGeom>
                  </pic:spPr>
                </pic:pic>
              </a:graphicData>
            </a:graphic>
          </wp:inline>
        </w:drawing>
      </w:r>
    </w:p>
    <w:p>
      <w:pPr>
        <w:pStyle w:val="NoHyph"/>
        <w:spacing w:before="0" w:after="200"/>
        <w:jc w:val="center"/>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Schema retrieval precision and recall against threshold </w:t>
      </w:r>
      <w:r>
        <w:rPr>
          <w:rFonts w:ascii="Times New Roman" w:cs="Times New Roman" w:eastAsia="Times New Roman" w:hAnsi="Times New Roman"/>
          <w:i/>
          <w:iCs/>
          <w:sz w:val="16"/>
          <w:szCs w:val="16"/>
        </w:rPr>
        <w:t xml:space="preserve">σ</w:t>
      </w:r>
      <w:r>
        <w:rPr>
          <w:rFonts w:ascii="Times New Roman" w:cs="Times New Roman" w:eastAsia="Times New Roman" w:hAnsi="Times New Roman"/>
          <w:sz w:val="16"/>
          <w:szCs w:val="16"/>
        </w:rPr>
        <w:t xml:space="preserve">.</w:t>
      </w:r>
    </w:p>
    <w:p>
      <w:pPr>
        <w:spacing w:before="0" w:after="0" w:line="240"/>
        <w:ind w:firstLine="288"/>
        <w:jc w:val="both"/>
      </w:pPr>
      <w:r>
        <w:rPr>
          <w:rFonts w:ascii="Times New Roman" w:cs="Times New Roman" w:eastAsia="Times New Roman" w:hAnsi="Times New Roman"/>
          <w:sz w:val="20"/>
          <w:szCs w:val="20"/>
        </w:rPr>
        <w:t xml:space="preserve">The registry contains 8 schemas (4 synthetic document types, SROIE and CORD receipts, purchase orders and forms) and the query set 50 labelled field-name sets; 40 labelled sets describe a registered schema (exact name, two synonym renames, two subsets and two subsets with unrelated additional fields per schema) and therefore must be accepted; 10 describe an unregistered document type and must be rejected. At the operating point of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0.70 (Fig. 6), where 10 of the 50 queries are rejected to the schemas agent, precision is 1.00 and no unregistered documents are accepted, with recall at 0.575. When queries with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below this threshold are rejected to the schemas agent, no false acceptances are made. Precision is maintained at high levels throughout, for example at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0.45 precision is 0.889 with recall 0.800, with no false acceptances; false acceptances only happen at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0.40, and in a deployment where the agent need only call the schemas agent infrequently, could be significantly reduced further.</w:t>
      </w:r>
    </w:p>
    <w:p>
      <w:pPr>
        <w:pStyle w:val="Heading1"/>
      </w:pPr>
      <w:r>
        <w:rPr>
          <w:rFonts w:ascii="Times New Roman" w:cs="Times New Roman" w:eastAsia="Times New Roman" w:hAnsi="Times New Roman"/>
          <w:smallCaps/>
          <w:sz w:val="20"/>
          <w:szCs w:val="20"/>
        </w:rPr>
        <w:t xml:space="preserve">VI. Conclusion</w:t>
      </w:r>
    </w:p>
    <w:p>
      <w:pPr>
        <w:spacing w:before="0" w:after="0" w:line="240"/>
        <w:ind w:firstLine="288"/>
        <w:jc w:val="both"/>
      </w:pPr>
      <w:r>
        <w:rPr>
          <w:rFonts w:ascii="Times New Roman" w:cs="Times New Roman" w:eastAsia="Times New Roman" w:hAnsi="Times New Roman"/>
          <w:sz w:val="20"/>
          <w:szCs w:val="20"/>
        </w:rPr>
        <w:t xml:space="preserve">The schema aware framework introduced here integrates both an OCR free extractor and an OCR grounded extractor in a deterministic evidence based field by field way. The approach contains embedding based schema registry with style dependent LoRA layout adapters. Given that each style documented has enough to avoid document routing, the approach seems to have a test macro F1 of 0.774/0.739 with trainable parameters of 0.94/4.5 MB. End to end pipeline gives test F1 of 0.980 for a multi-page synthetic set that outperforms 7B VLM. CORD strongest branch maximizes performance and all three improve on exact match rate and matches VLM. Amazingly the most effective way to avoid hallucination of values is to ground the OCR free answer in page text. At operational threshold for schema registry none of the unregistered document style will be accepted. Usual error analysis is converted into rule analysis with field by field audit record. And the analysis to bridge the gap from strongest branch on SROIE is boiled down to one clause length and form rule and this can be found in log in less than 15 minutes of experimental work.</w:t>
      </w:r>
    </w:p>
    <w:p>
      <w:pPr>
        <w:pStyle w:val="Heading1"/>
      </w:pPr>
      <w:r>
        <w:rPr>
          <w:rFonts w:ascii="Times New Roman" w:cs="Times New Roman" w:eastAsia="Times New Roman" w:hAnsi="Times New Roman"/>
          <w:smallCaps/>
          <w:sz w:val="20"/>
          <w:szCs w:val="20"/>
        </w:rPr>
        <w:t xml:space="preserve">VII. Limitations</w:t>
      </w:r>
    </w:p>
    <w:p>
      <w:pPr>
        <w:spacing w:before="0" w:after="0" w:line="240"/>
        <w:ind w:firstLine="288"/>
        <w:jc w:val="both"/>
      </w:pPr>
      <w:r>
        <w:rPr>
          <w:rFonts w:ascii="Times New Roman" w:cs="Times New Roman" w:eastAsia="Times New Roman" w:hAnsi="Times New Roman"/>
          <w:sz w:val="20"/>
          <w:szCs w:val="20"/>
        </w:rPr>
        <w:t xml:space="preserve">In terms of public benchmark, we have a receipt data which are usual 100/50 document public benchmarks and we run them once each for each configuration. So we cannot test the F1 difference of 0.02. There might be some disadvantages of multi-page set. Small synthetic written by the authors. We are limited in terms of grounding by output range of the OCR engine. The most obvious is in CORD data where the output of tesseract is very sparse. We manually set policy rule, threshold for development documents which we need to re-tune in case of any new domain. E.g. in case of clause test for longer address. We are experimenting with layout adapters in isolation, we don’t yet plug them into field extractors.</w:t>
      </w:r>
    </w:p>
    <w:p>
      <w:pPr>
        <w:pStyle w:val="Heading1"/>
      </w:pPr>
      <w:r>
        <w:rPr>
          <w:rFonts w:ascii="Times New Roman" w:cs="Times New Roman" w:eastAsia="Times New Roman" w:hAnsi="Times New Roman"/>
          <w:smallCaps/>
          <w:sz w:val="20"/>
          <w:szCs w:val="20"/>
        </w:rPr>
        <w:t xml:space="preserve">VIII. Future Work</w:t>
      </w:r>
    </w:p>
    <w:p>
      <w:pPr>
        <w:spacing w:before="0" w:after="0" w:line="240"/>
        <w:ind w:firstLine="288"/>
        <w:jc w:val="both"/>
      </w:pPr>
      <w:r>
        <w:rPr>
          <w:rFonts w:ascii="Times New Roman" w:cs="Times New Roman" w:eastAsia="Times New Roman" w:hAnsi="Times New Roman"/>
          <w:sz w:val="20"/>
          <w:szCs w:val="20"/>
        </w:rPr>
        <w:t xml:space="preserve">The VLM is current fallback for OCR-LLM branch. We can plug it into policy as 3rd evidence with comparable grounding, usability tests. We might be able to avoid regression on SROIE with clause test limited to clause type fields. We might also be able to pass region labels from layout adapters to field extractors to limit region for grounding to field region. Also better OCR engine will save more Donut output for grounding. Also we will do more experiments with bigger multi-page documents with public annotations e.g. Kleister [18], CUAD [17].</w:t>
      </w:r>
    </w:p>
    <w:p>
      <w:pPr>
        <w:pStyle w:val="Heading1"/>
      </w:pPr>
      <w:r>
        <w:rPr>
          <w:rFonts w:ascii="Times New Roman" w:cs="Times New Roman" w:eastAsia="Times New Roman" w:hAnsi="Times New Roman"/>
          <w:smallCaps/>
          <w:sz w:val="20"/>
          <w:szCs w:val="20"/>
        </w:rPr>
        <w:t xml:space="preserve">References</w:t>
      </w:r>
    </w:p>
    <w:p>
      <w:pPr>
        <w:tabs>
          <w:tab w:val="left" w:pos="360"/>
        </w:tabs>
        <w:spacing w:before="0" w:after="20" w:line="228"/>
        <w:ind w:left="360" w:hanging="360"/>
        <w:jc w:val="both"/>
      </w:pPr>
      <w:r>
        <w:rPr>
          <w:sz w:val="16"/>
          <w:szCs w:val="16"/>
        </w:rPr>
        <w:t xml:space="preserve">[1]	</w:t>
      </w:r>
      <w:r>
        <w:rPr>
          <w:rFonts w:ascii="Times New Roman" w:cs="Times New Roman" w:eastAsia="Times New Roman" w:hAnsi="Times New Roman"/>
          <w:sz w:val="16"/>
          <w:szCs w:val="16"/>
        </w:rPr>
        <w:t xml:space="preserve">Y. Xu, M. Li, L. Cui, S. Huang, F. Wei, and M. Zhou, “LayoutLM: Pre-training of text and layout for document image understanding,” in </w:t>
      </w:r>
      <w:r>
        <w:rPr>
          <w:rFonts w:ascii="Times New Roman" w:cs="Times New Roman" w:eastAsia="Times New Roman" w:hAnsi="Times New Roman"/>
          <w:i/>
          <w:iCs/>
          <w:sz w:val="16"/>
          <w:szCs w:val="16"/>
        </w:rPr>
        <w:t xml:space="preserve">Proc. 26th ACM SIGKDD International Conference on Knowledge Discovery and Data Mining (KDD)</w:t>
      </w:r>
      <w:r>
        <w:rPr>
          <w:rFonts w:ascii="Times New Roman" w:cs="Times New Roman" w:eastAsia="Times New Roman" w:hAnsi="Times New Roman"/>
          <w:sz w:val="16"/>
          <w:szCs w:val="16"/>
        </w:rPr>
        <w:t xml:space="preserve">, 2020, pp. 1192–1200.</w:t>
      </w:r>
    </w:p>
    <w:p>
      <w:pPr>
        <w:tabs>
          <w:tab w:val="left" w:pos="360"/>
        </w:tabs>
        <w:spacing w:before="0" w:after="20" w:line="228"/>
        <w:ind w:left="360" w:hanging="360"/>
        <w:jc w:val="both"/>
      </w:pPr>
      <w:r>
        <w:rPr>
          <w:sz w:val="16"/>
          <w:szCs w:val="16"/>
        </w:rPr>
        <w:t xml:space="preserve">[2]	</w:t>
      </w:r>
      <w:r>
        <w:rPr>
          <w:rFonts w:ascii="Times New Roman" w:cs="Times New Roman" w:eastAsia="Times New Roman" w:hAnsi="Times New Roman"/>
          <w:sz w:val="16"/>
          <w:szCs w:val="16"/>
        </w:rPr>
        <w:t xml:space="preserve">Y. Xu, Y. Xu, T. Lv, L. Cui, F. Wei, G. Wang, Y. Lu, D. Florencio, C. Zhang, W. Che, M. Zhang, and L. Zhou, “LayoutLMv2: Multi-modal pre-training for visually-rich document understanding,” in </w:t>
      </w:r>
      <w:r>
        <w:rPr>
          <w:rFonts w:ascii="Times New Roman" w:cs="Times New Roman" w:eastAsia="Times New Roman" w:hAnsi="Times New Roman"/>
          <w:i/>
          <w:iCs/>
          <w:sz w:val="16"/>
          <w:szCs w:val="16"/>
        </w:rPr>
        <w:t xml:space="preserve">Proc. 59th Annual Meeting of the Association for Computational Linguistics and the 11th International Joint Conference on Natural Language Processing (ACL-IJCNLP)</w:t>
      </w:r>
      <w:r>
        <w:rPr>
          <w:rFonts w:ascii="Times New Roman" w:cs="Times New Roman" w:eastAsia="Times New Roman" w:hAnsi="Times New Roman"/>
          <w:sz w:val="16"/>
          <w:szCs w:val="16"/>
        </w:rPr>
        <w:t xml:space="preserve">, 2021, pp. 2579–2591.</w:t>
      </w:r>
    </w:p>
    <w:p>
      <w:pPr>
        <w:tabs>
          <w:tab w:val="left" w:pos="360"/>
        </w:tabs>
        <w:spacing w:before="0" w:after="20" w:line="228"/>
        <w:ind w:left="360" w:hanging="360"/>
        <w:jc w:val="both"/>
      </w:pPr>
      <w:r>
        <w:rPr>
          <w:sz w:val="16"/>
          <w:szCs w:val="16"/>
        </w:rPr>
        <w:t xml:space="preserve">[3]	</w:t>
      </w:r>
      <w:r>
        <w:rPr>
          <w:rFonts w:ascii="Times New Roman" w:cs="Times New Roman" w:eastAsia="Times New Roman" w:hAnsi="Times New Roman"/>
          <w:sz w:val="16"/>
          <w:szCs w:val="16"/>
        </w:rPr>
        <w:t xml:space="preserve">Y. Huang, T. Lv, L. Cui, Y. Lu, and F. Wei, “LayoutLMv3: Pre-training for document AI with unified text and image masking,” in </w:t>
      </w:r>
      <w:r>
        <w:rPr>
          <w:rFonts w:ascii="Times New Roman" w:cs="Times New Roman" w:eastAsia="Times New Roman" w:hAnsi="Times New Roman"/>
          <w:i/>
          <w:iCs/>
          <w:sz w:val="16"/>
          <w:szCs w:val="16"/>
        </w:rPr>
        <w:t xml:space="preserve">Proc. 30th ACM International Conference on Multimedia (ACM MM)</w:t>
      </w:r>
      <w:r>
        <w:rPr>
          <w:rFonts w:ascii="Times New Roman" w:cs="Times New Roman" w:eastAsia="Times New Roman" w:hAnsi="Times New Roman"/>
          <w:sz w:val="16"/>
          <w:szCs w:val="16"/>
        </w:rPr>
        <w:t xml:space="preserve">, 2022, pp. 4083–4091.</w:t>
      </w:r>
    </w:p>
    <w:p>
      <w:pPr>
        <w:tabs>
          <w:tab w:val="left" w:pos="360"/>
        </w:tabs>
        <w:spacing w:before="0" w:after="20" w:line="228"/>
        <w:ind w:left="360" w:hanging="360"/>
        <w:jc w:val="both"/>
      </w:pPr>
      <w:r>
        <w:rPr>
          <w:sz w:val="16"/>
          <w:szCs w:val="16"/>
        </w:rPr>
        <w:t xml:space="preserve">[4]	</w:t>
      </w:r>
      <w:r>
        <w:rPr>
          <w:rFonts w:ascii="Times New Roman" w:cs="Times New Roman" w:eastAsia="Times New Roman" w:hAnsi="Times New Roman"/>
          <w:sz w:val="16"/>
          <w:szCs w:val="16"/>
        </w:rPr>
        <w:t xml:space="preserve">G. Kim, T. Hong, M. Yim, J. Nam, J. Park, J. Yim, W. Hwang, S. Yun, D. Han, and S. Park, “OCR-free document understanding transformer,” in </w:t>
      </w:r>
      <w:r>
        <w:rPr>
          <w:rFonts w:ascii="Times New Roman" w:cs="Times New Roman" w:eastAsia="Times New Roman" w:hAnsi="Times New Roman"/>
          <w:i/>
          <w:iCs/>
          <w:sz w:val="16"/>
          <w:szCs w:val="16"/>
        </w:rPr>
        <w:t xml:space="preserve">Proc. European Conference on Computer Vision (ECCV)</w:t>
      </w:r>
      <w:r>
        <w:rPr>
          <w:rFonts w:ascii="Times New Roman" w:cs="Times New Roman" w:eastAsia="Times New Roman" w:hAnsi="Times New Roman"/>
          <w:sz w:val="16"/>
          <w:szCs w:val="16"/>
        </w:rPr>
        <w:t xml:space="preserve">, 2022, pp. 498–517.</w:t>
      </w:r>
    </w:p>
    <w:p>
      <w:pPr>
        <w:tabs>
          <w:tab w:val="left" w:pos="360"/>
        </w:tabs>
        <w:spacing w:before="0" w:after="20" w:line="228"/>
        <w:ind w:left="360" w:hanging="360"/>
        <w:jc w:val="both"/>
      </w:pPr>
      <w:r>
        <w:rPr>
          <w:sz w:val="16"/>
          <w:szCs w:val="16"/>
        </w:rPr>
        <w:t xml:space="preserve">[5]	</w:t>
      </w:r>
      <w:r>
        <w:rPr>
          <w:rFonts w:ascii="Times New Roman" w:cs="Times New Roman" w:eastAsia="Times New Roman" w:hAnsi="Times New Roman"/>
          <w:sz w:val="16"/>
          <w:szCs w:val="16"/>
        </w:rPr>
        <w:t xml:space="preserve">L. Chiticariu, Y. Li, and F. R. Reiss, “Rule-based information extraction is dead! Long live rule-based information extraction systems!” in </w:t>
      </w:r>
      <w:r>
        <w:rPr>
          <w:rFonts w:ascii="Times New Roman" w:cs="Times New Roman" w:eastAsia="Times New Roman" w:hAnsi="Times New Roman"/>
          <w:i/>
          <w:iCs/>
          <w:sz w:val="16"/>
          <w:szCs w:val="16"/>
        </w:rPr>
        <w:t xml:space="preserve">Proc. 2013 Conference on Empirical Methods in Natural Language Processing (EMNLP)</w:t>
      </w:r>
      <w:r>
        <w:rPr>
          <w:rFonts w:ascii="Times New Roman" w:cs="Times New Roman" w:eastAsia="Times New Roman" w:hAnsi="Times New Roman"/>
          <w:sz w:val="16"/>
          <w:szCs w:val="16"/>
        </w:rPr>
        <w:t xml:space="preserve">, 2013, pp. 827–832.</w:t>
      </w:r>
    </w:p>
    <w:p>
      <w:pPr>
        <w:tabs>
          <w:tab w:val="left" w:pos="360"/>
        </w:tabs>
        <w:spacing w:before="0" w:after="20" w:line="228"/>
        <w:ind w:left="360" w:hanging="360"/>
        <w:jc w:val="both"/>
      </w:pPr>
      <w:r>
        <w:rPr>
          <w:sz w:val="16"/>
          <w:szCs w:val="16"/>
        </w:rPr>
        <w:t xml:space="preserve">[6]	</w:t>
      </w:r>
      <w:r>
        <w:rPr>
          <w:rFonts w:ascii="Times New Roman" w:cs="Times New Roman" w:eastAsia="Times New Roman" w:hAnsi="Times New Roman"/>
          <w:sz w:val="16"/>
          <w:szCs w:val="16"/>
        </w:rPr>
        <w:t xml:space="preserve">T. Hong, D. Kim, M. Ji, W. Hwang, D. Nam, and S. Park, “BROS: A pre-trained language model focusing on text and layout for better key information extraction from documents,” in </w:t>
      </w:r>
      <w:r>
        <w:rPr>
          <w:rFonts w:ascii="Times New Roman" w:cs="Times New Roman" w:eastAsia="Times New Roman" w:hAnsi="Times New Roman"/>
          <w:i/>
          <w:iCs/>
          <w:sz w:val="16"/>
          <w:szCs w:val="16"/>
        </w:rPr>
        <w:t xml:space="preserve">Proc. AAAI Conference on Artificial Intelligence</w:t>
      </w:r>
      <w:r>
        <w:rPr>
          <w:rFonts w:ascii="Times New Roman" w:cs="Times New Roman" w:eastAsia="Times New Roman" w:hAnsi="Times New Roman"/>
          <w:sz w:val="16"/>
          <w:szCs w:val="16"/>
        </w:rPr>
        <w:t xml:space="preserve">, vol. 36, no. 10, 2022, pp. 10767–10775.</w:t>
      </w:r>
    </w:p>
    <w:p>
      <w:pPr>
        <w:tabs>
          <w:tab w:val="left" w:pos="360"/>
        </w:tabs>
        <w:spacing w:before="0" w:after="20" w:line="228"/>
        <w:ind w:left="360" w:hanging="360"/>
        <w:jc w:val="both"/>
      </w:pPr>
      <w:r>
        <w:rPr>
          <w:sz w:val="16"/>
          <w:szCs w:val="16"/>
        </w:rPr>
        <w:t xml:space="preserve">[7]	</w:t>
      </w:r>
      <w:r>
        <w:rPr>
          <w:rFonts w:ascii="Times New Roman" w:cs="Times New Roman" w:eastAsia="Times New Roman" w:hAnsi="Times New Roman"/>
          <w:sz w:val="16"/>
          <w:szCs w:val="16"/>
        </w:rPr>
        <w:t xml:space="preserve">J. Wang, L. Jin, and K. Ding, “LiLT: A simple yet effective language-independent layout transformer for structured document understanding,” in </w:t>
      </w:r>
      <w:r>
        <w:rPr>
          <w:rFonts w:ascii="Times New Roman" w:cs="Times New Roman" w:eastAsia="Times New Roman" w:hAnsi="Times New Roman"/>
          <w:i/>
          <w:iCs/>
          <w:sz w:val="16"/>
          <w:szCs w:val="16"/>
        </w:rPr>
        <w:t xml:space="preserve">Proc. 60th Annual Meeting of the Association for Computational Linguistics (ACL)</w:t>
      </w:r>
      <w:r>
        <w:rPr>
          <w:rFonts w:ascii="Times New Roman" w:cs="Times New Roman" w:eastAsia="Times New Roman" w:hAnsi="Times New Roman"/>
          <w:sz w:val="16"/>
          <w:szCs w:val="16"/>
        </w:rPr>
        <w:t xml:space="preserve">, 2022, pp. 7747–7757.</w:t>
      </w:r>
    </w:p>
    <w:p>
      <w:pPr>
        <w:tabs>
          <w:tab w:val="left" w:pos="360"/>
        </w:tabs>
        <w:spacing w:before="0" w:after="20" w:line="228"/>
        <w:ind w:left="360" w:hanging="360"/>
        <w:jc w:val="both"/>
      </w:pPr>
      <w:r>
        <w:rPr>
          <w:sz w:val="16"/>
          <w:szCs w:val="16"/>
        </w:rPr>
        <w:t xml:space="preserve">[8]	</w:t>
      </w:r>
      <w:r>
        <w:rPr>
          <w:rFonts w:ascii="Times New Roman" w:cs="Times New Roman" w:eastAsia="Times New Roman" w:hAnsi="Times New Roman"/>
          <w:sz w:val="16"/>
          <w:szCs w:val="16"/>
        </w:rPr>
        <w:t xml:space="preserve">C. Luo, C. Cheng, Q. Zheng, and C. Yao, “GeoLayoutLM: Geometric pre-training for visual information extraction,” in </w:t>
      </w:r>
      <w:r>
        <w:rPr>
          <w:rFonts w:ascii="Times New Roman" w:cs="Times New Roman" w:eastAsia="Times New Roman" w:hAnsi="Times New Roman"/>
          <w:i/>
          <w:iCs/>
          <w:sz w:val="16"/>
          <w:szCs w:val="16"/>
        </w:rPr>
        <w:t xml:space="preserve">Proc. IEEE/CVF Conference on Computer Vision and Pattern Recognition (CVPR)</w:t>
      </w:r>
      <w:r>
        <w:rPr>
          <w:rFonts w:ascii="Times New Roman" w:cs="Times New Roman" w:eastAsia="Times New Roman" w:hAnsi="Times New Roman"/>
          <w:sz w:val="16"/>
          <w:szCs w:val="16"/>
        </w:rPr>
        <w:t xml:space="preserve">, 2023, pp. 7092–7101.</w:t>
      </w:r>
    </w:p>
    <w:p>
      <w:pPr>
        <w:tabs>
          <w:tab w:val="left" w:pos="360"/>
        </w:tabs>
        <w:spacing w:before="0" w:after="20" w:line="228"/>
        <w:ind w:left="360" w:hanging="360"/>
        <w:jc w:val="both"/>
      </w:pPr>
      <w:r>
        <w:rPr>
          <w:sz w:val="16"/>
          <w:szCs w:val="16"/>
        </w:rPr>
        <w:t xml:space="preserve">[9]	</w:t>
      </w:r>
      <w:r>
        <w:rPr>
          <w:rFonts w:ascii="Times New Roman" w:cs="Times New Roman" w:eastAsia="Times New Roman" w:hAnsi="Times New Roman"/>
          <w:sz w:val="16"/>
          <w:szCs w:val="16"/>
        </w:rPr>
        <w:t xml:space="preserve">C.-Y. Lee, C.-L. Li, T. Dozat, V. Perot, G. Su, N. Hua, J. Ainslie, R. Wang, Y. Fujii, and T. Pfister, “FormNet: Structural encoding beyond sequential modeling in form document information extraction,” in </w:t>
      </w:r>
      <w:r>
        <w:rPr>
          <w:rFonts w:ascii="Times New Roman" w:cs="Times New Roman" w:eastAsia="Times New Roman" w:hAnsi="Times New Roman"/>
          <w:i/>
          <w:iCs/>
          <w:sz w:val="16"/>
          <w:szCs w:val="16"/>
        </w:rPr>
        <w:t xml:space="preserve">Proc. 60th Annual Meeting of the Association for Computational Linguistics (ACL)</w:t>
      </w:r>
      <w:r>
        <w:rPr>
          <w:rFonts w:ascii="Times New Roman" w:cs="Times New Roman" w:eastAsia="Times New Roman" w:hAnsi="Times New Roman"/>
          <w:sz w:val="16"/>
          <w:szCs w:val="16"/>
        </w:rPr>
        <w:t xml:space="preserve">, 2022, pp. 3735–3754.</w:t>
      </w:r>
    </w:p>
    <w:p>
      <w:pPr>
        <w:tabs>
          <w:tab w:val="left" w:pos="360"/>
        </w:tabs>
        <w:spacing w:before="0" w:after="20" w:line="228"/>
        <w:ind w:left="360" w:hanging="360"/>
        <w:jc w:val="both"/>
      </w:pPr>
      <w:r>
        <w:rPr>
          <w:sz w:val="16"/>
          <w:szCs w:val="16"/>
        </w:rPr>
        <w:t xml:space="preserve">[10]	</w:t>
      </w:r>
      <w:r>
        <w:rPr>
          <w:rFonts w:ascii="Times New Roman" w:cs="Times New Roman" w:eastAsia="Times New Roman" w:hAnsi="Times New Roman"/>
          <w:sz w:val="16"/>
          <w:szCs w:val="16"/>
        </w:rPr>
        <w:t xml:space="preserve">G. Jaume, H. K. Ekenel, and J.-P. Thiran, “FUNSD: A dataset for form understanding in noisy scanned documents,” in </w:t>
      </w:r>
      <w:r>
        <w:rPr>
          <w:rFonts w:ascii="Times New Roman" w:cs="Times New Roman" w:eastAsia="Times New Roman" w:hAnsi="Times New Roman"/>
          <w:i/>
          <w:iCs/>
          <w:sz w:val="16"/>
          <w:szCs w:val="16"/>
        </w:rPr>
        <w:t xml:space="preserve">Proc. ICDAR Workshops</w:t>
      </w:r>
      <w:r>
        <w:rPr>
          <w:rFonts w:ascii="Times New Roman" w:cs="Times New Roman" w:eastAsia="Times New Roman" w:hAnsi="Times New Roman"/>
          <w:sz w:val="16"/>
          <w:szCs w:val="16"/>
        </w:rPr>
        <w:t xml:space="preserve">, 2019, pp. 1–6.</w:t>
      </w:r>
    </w:p>
    <w:p>
      <w:pPr>
        <w:tabs>
          <w:tab w:val="left" w:pos="360"/>
        </w:tabs>
        <w:spacing w:before="0" w:after="20" w:line="228"/>
        <w:ind w:left="360" w:hanging="360"/>
        <w:jc w:val="both"/>
      </w:pPr>
      <w:r>
        <w:rPr>
          <w:sz w:val="16"/>
          <w:szCs w:val="16"/>
        </w:rPr>
        <w:t xml:space="preserve">[11]	</w:t>
      </w:r>
      <w:r>
        <w:rPr>
          <w:rFonts w:ascii="Times New Roman" w:cs="Times New Roman" w:eastAsia="Times New Roman" w:hAnsi="Times New Roman"/>
          <w:sz w:val="16"/>
          <w:szCs w:val="16"/>
        </w:rPr>
        <w:t xml:space="preserve">S. Park, S. Shin, B. Lee, J. Lee, J. Surh, M. Seo, and H. Lee, “CORD: A consolidated receipt dataset for post-OCR parsing,” in </w:t>
      </w:r>
      <w:r>
        <w:rPr>
          <w:rFonts w:ascii="Times New Roman" w:cs="Times New Roman" w:eastAsia="Times New Roman" w:hAnsi="Times New Roman"/>
          <w:i/>
          <w:iCs/>
          <w:sz w:val="16"/>
          <w:szCs w:val="16"/>
        </w:rPr>
        <w:t xml:space="preserve">NeurIPS 2019 Workshop on Document Intelligence</w:t>
      </w:r>
      <w:r>
        <w:rPr>
          <w:rFonts w:ascii="Times New Roman" w:cs="Times New Roman" w:eastAsia="Times New Roman" w:hAnsi="Times New Roman"/>
          <w:sz w:val="16"/>
          <w:szCs w:val="16"/>
        </w:rPr>
        <w:t xml:space="preserve">, 2019.</w:t>
      </w:r>
    </w:p>
    <w:p>
      <w:pPr>
        <w:tabs>
          <w:tab w:val="left" w:pos="360"/>
        </w:tabs>
        <w:spacing w:before="0" w:after="20" w:line="228"/>
        <w:ind w:left="360" w:hanging="360"/>
        <w:jc w:val="both"/>
      </w:pPr>
      <w:r>
        <w:rPr>
          <w:sz w:val="16"/>
          <w:szCs w:val="16"/>
        </w:rPr>
        <w:t xml:space="preserve">[12]	</w:t>
      </w:r>
      <w:r>
        <w:rPr>
          <w:rFonts w:ascii="Times New Roman" w:cs="Times New Roman" w:eastAsia="Times New Roman" w:hAnsi="Times New Roman"/>
          <w:sz w:val="16"/>
          <w:szCs w:val="16"/>
        </w:rPr>
        <w:t xml:space="preserve">Z. Huang, K. Chen, J. He, X. Bai, D. Karatzas, S. Lu, and C. V. Jawahar, “ICDAR2019 competition on scanned receipt OCR and information extraction,” in </w:t>
      </w:r>
      <w:r>
        <w:rPr>
          <w:rFonts w:ascii="Times New Roman" w:cs="Times New Roman" w:eastAsia="Times New Roman" w:hAnsi="Times New Roman"/>
          <w:i/>
          <w:iCs/>
          <w:sz w:val="16"/>
          <w:szCs w:val="16"/>
        </w:rPr>
        <w:t xml:space="preserve">Proc. International Conference on Document Analysis and Recognition (ICDAR)</w:t>
      </w:r>
      <w:r>
        <w:rPr>
          <w:rFonts w:ascii="Times New Roman" w:cs="Times New Roman" w:eastAsia="Times New Roman" w:hAnsi="Times New Roman"/>
          <w:sz w:val="16"/>
          <w:szCs w:val="16"/>
        </w:rPr>
        <w:t xml:space="preserve">, 2019, pp. 1516–1520.</w:t>
      </w:r>
    </w:p>
    <w:p>
      <w:pPr>
        <w:tabs>
          <w:tab w:val="left" w:pos="360"/>
        </w:tabs>
        <w:spacing w:before="0" w:after="20" w:line="228"/>
        <w:ind w:left="360" w:hanging="360"/>
        <w:jc w:val="both"/>
      </w:pPr>
      <w:r>
        <w:rPr>
          <w:sz w:val="16"/>
          <w:szCs w:val="16"/>
        </w:rPr>
        <w:t xml:space="preserve">[13]	</w:t>
      </w:r>
      <w:r>
        <w:rPr>
          <w:rFonts w:ascii="Times New Roman" w:cs="Times New Roman" w:eastAsia="Times New Roman" w:hAnsi="Times New Roman"/>
          <w:sz w:val="16"/>
          <w:szCs w:val="16"/>
        </w:rPr>
        <w:t xml:space="preserve">B. Pfitzmann, C. Auer, M. Dolfi, A. S. Nassar, and P. Staar, “DocLayNet: A large human-annotated dataset for document-layout segmentation,” in </w:t>
      </w:r>
      <w:r>
        <w:rPr>
          <w:rFonts w:ascii="Times New Roman" w:cs="Times New Roman" w:eastAsia="Times New Roman" w:hAnsi="Times New Roman"/>
          <w:i/>
          <w:iCs/>
          <w:sz w:val="16"/>
          <w:szCs w:val="16"/>
        </w:rPr>
        <w:t xml:space="preserve">Proc. 28th ACM SIGKDD Conference on Knowledge Discovery and Data Mining (KDD)</w:t>
      </w:r>
      <w:r>
        <w:rPr>
          <w:rFonts w:ascii="Times New Roman" w:cs="Times New Roman" w:eastAsia="Times New Roman" w:hAnsi="Times New Roman"/>
          <w:sz w:val="16"/>
          <w:szCs w:val="16"/>
        </w:rPr>
        <w:t xml:space="preserve">, 2022, pp. 3743–3751.</w:t>
      </w:r>
    </w:p>
    <w:p>
      <w:pPr>
        <w:tabs>
          <w:tab w:val="left" w:pos="360"/>
        </w:tabs>
        <w:spacing w:before="0" w:after="20" w:line="228"/>
        <w:ind w:left="360" w:hanging="360"/>
        <w:jc w:val="both"/>
      </w:pPr>
      <w:r>
        <w:rPr>
          <w:sz w:val="16"/>
          <w:szCs w:val="16"/>
        </w:rPr>
        <w:t xml:space="preserve">[14]	</w:t>
      </w:r>
      <w:r>
        <w:rPr>
          <w:rFonts w:ascii="Times New Roman" w:cs="Times New Roman" w:eastAsia="Times New Roman" w:hAnsi="Times New Roman"/>
          <w:sz w:val="16"/>
          <w:szCs w:val="16"/>
        </w:rPr>
        <w:t xml:space="preserve">R. Smith, “An overview of the Tesseract OCR engine,” in </w:t>
      </w:r>
      <w:r>
        <w:rPr>
          <w:rFonts w:ascii="Times New Roman" w:cs="Times New Roman" w:eastAsia="Times New Roman" w:hAnsi="Times New Roman"/>
          <w:i/>
          <w:iCs/>
          <w:sz w:val="16"/>
          <w:szCs w:val="16"/>
        </w:rPr>
        <w:t xml:space="preserve">Proc. 9th International Conference on Document Analysis and Recognition (ICDAR)</w:t>
      </w:r>
      <w:r>
        <w:rPr>
          <w:rFonts w:ascii="Times New Roman" w:cs="Times New Roman" w:eastAsia="Times New Roman" w:hAnsi="Times New Roman"/>
          <w:sz w:val="16"/>
          <w:szCs w:val="16"/>
        </w:rPr>
        <w:t xml:space="preserve">, 2007, pp. 629–633.</w:t>
      </w:r>
    </w:p>
    <w:p>
      <w:pPr>
        <w:tabs>
          <w:tab w:val="left" w:pos="360"/>
        </w:tabs>
        <w:spacing w:before="0" w:after="20" w:line="228"/>
        <w:ind w:left="360" w:hanging="360"/>
        <w:jc w:val="both"/>
      </w:pPr>
      <w:r>
        <w:rPr>
          <w:sz w:val="16"/>
          <w:szCs w:val="16"/>
        </w:rPr>
        <w:t xml:space="preserve">[15]	</w:t>
      </w:r>
      <w:r>
        <w:rPr>
          <w:rFonts w:ascii="Times New Roman" w:cs="Times New Roman" w:eastAsia="Times New Roman" w:hAnsi="Times New Roman"/>
          <w:sz w:val="16"/>
          <w:szCs w:val="16"/>
        </w:rPr>
        <w:t xml:space="preserve">K. Lee, M. Joshi, I. R. Turc, H. Hu, F. Liu, J. M. Eisenschlos, U. Khandelwal, P. Shaw, M.-W. Chang, and K. Toutanova, “Pix2Struct: Screenshot parsing as pretraining for visual language understanding,” in </w:t>
      </w:r>
      <w:r>
        <w:rPr>
          <w:rFonts w:ascii="Times New Roman" w:cs="Times New Roman" w:eastAsia="Times New Roman" w:hAnsi="Times New Roman"/>
          <w:i/>
          <w:iCs/>
          <w:sz w:val="16"/>
          <w:szCs w:val="16"/>
        </w:rPr>
        <w:t xml:space="preserve">Proc. 40th International Conference on Machine Learning (ICML)</w:t>
      </w:r>
      <w:r>
        <w:rPr>
          <w:rFonts w:ascii="Times New Roman" w:cs="Times New Roman" w:eastAsia="Times New Roman" w:hAnsi="Times New Roman"/>
          <w:sz w:val="16"/>
          <w:szCs w:val="16"/>
        </w:rPr>
        <w:t xml:space="preserve">, PMLR vol. 202, 2023, pp. 18893–18912.</w:t>
      </w:r>
    </w:p>
    <w:p>
      <w:pPr>
        <w:tabs>
          <w:tab w:val="left" w:pos="360"/>
        </w:tabs>
        <w:spacing w:before="0" w:after="20" w:line="228"/>
        <w:ind w:left="360" w:hanging="360"/>
        <w:jc w:val="both"/>
      </w:pPr>
      <w:r>
        <w:rPr>
          <w:sz w:val="16"/>
          <w:szCs w:val="16"/>
        </w:rPr>
        <w:t xml:space="preserve">[16]	</w:t>
      </w:r>
      <w:r>
        <w:rPr>
          <w:rFonts w:ascii="Times New Roman" w:cs="Times New Roman" w:eastAsia="Times New Roman" w:hAnsi="Times New Roman"/>
          <w:sz w:val="16"/>
          <w:szCs w:val="16"/>
        </w:rPr>
        <w:t xml:space="preserve">S. Wang, X. Sun, X. Li, R. Ouyang, F. Wu, T. Zhang, J. Li, G. Wang, and C. Guo, “GPT-NER: Named entity recognition via large language models,” in </w:t>
      </w:r>
      <w:r>
        <w:rPr>
          <w:rFonts w:ascii="Times New Roman" w:cs="Times New Roman" w:eastAsia="Times New Roman" w:hAnsi="Times New Roman"/>
          <w:i/>
          <w:iCs/>
          <w:sz w:val="16"/>
          <w:szCs w:val="16"/>
        </w:rPr>
        <w:t xml:space="preserve">Findings of the Association for Computational Linguistics: NAACL 2025</w:t>
      </w:r>
      <w:r>
        <w:rPr>
          <w:rFonts w:ascii="Times New Roman" w:cs="Times New Roman" w:eastAsia="Times New Roman" w:hAnsi="Times New Roman"/>
          <w:sz w:val="16"/>
          <w:szCs w:val="16"/>
        </w:rPr>
        <w:t xml:space="preserve">, 2025, pp. 4257–4275.</w:t>
      </w:r>
    </w:p>
    <w:p>
      <w:pPr>
        <w:tabs>
          <w:tab w:val="left" w:pos="360"/>
        </w:tabs>
        <w:spacing w:before="0" w:after="20" w:line="228"/>
        <w:ind w:left="360" w:hanging="360"/>
        <w:jc w:val="both"/>
      </w:pPr>
      <w:r>
        <w:rPr>
          <w:sz w:val="16"/>
          <w:szCs w:val="16"/>
        </w:rPr>
        <w:t xml:space="preserve">[17]	</w:t>
      </w:r>
      <w:r>
        <w:rPr>
          <w:rFonts w:ascii="Times New Roman" w:cs="Times New Roman" w:eastAsia="Times New Roman" w:hAnsi="Times New Roman"/>
          <w:sz w:val="16"/>
          <w:szCs w:val="16"/>
        </w:rPr>
        <w:t xml:space="preserve">D. Hendrycks, C. Burns, A. Chen, and S. Ball, “CUAD: An expert-annotated NLP dataset for legal contract review,” in </w:t>
      </w:r>
      <w:r>
        <w:rPr>
          <w:rFonts w:ascii="Times New Roman" w:cs="Times New Roman" w:eastAsia="Times New Roman" w:hAnsi="Times New Roman"/>
          <w:i/>
          <w:iCs/>
          <w:sz w:val="16"/>
          <w:szCs w:val="16"/>
        </w:rPr>
        <w:t xml:space="preserve">Proc. Neural Information Processing Systems Track on Datasets and Benchmarks</w:t>
      </w:r>
      <w:r>
        <w:rPr>
          <w:rFonts w:ascii="Times New Roman" w:cs="Times New Roman" w:eastAsia="Times New Roman" w:hAnsi="Times New Roman"/>
          <w:sz w:val="16"/>
          <w:szCs w:val="16"/>
        </w:rPr>
        <w:t xml:space="preserve">, vol. 1, 2021.</w:t>
      </w:r>
    </w:p>
    <w:p>
      <w:pPr>
        <w:tabs>
          <w:tab w:val="left" w:pos="360"/>
        </w:tabs>
        <w:spacing w:before="0" w:after="20" w:line="228"/>
        <w:ind w:left="360" w:hanging="360"/>
        <w:jc w:val="both"/>
      </w:pPr>
      <w:r>
        <w:rPr>
          <w:sz w:val="16"/>
          <w:szCs w:val="16"/>
        </w:rPr>
        <w:t xml:space="preserve">[18]	</w:t>
      </w:r>
      <w:r>
        <w:rPr>
          <w:rFonts w:ascii="Times New Roman" w:cs="Times New Roman" w:eastAsia="Times New Roman" w:hAnsi="Times New Roman"/>
          <w:sz w:val="16"/>
          <w:szCs w:val="16"/>
        </w:rPr>
        <w:t xml:space="preserve">T. Stanisławek, F. Graliński, A. Wróblewska, D. Lipiński, A. Kaliska, P. Rosalska, B. Topolski, and P. Biecek, “Kleister: Key information extraction datasets involving long documents with complex layouts,” in </w:t>
      </w:r>
      <w:r>
        <w:rPr>
          <w:rFonts w:ascii="Times New Roman" w:cs="Times New Roman" w:eastAsia="Times New Roman" w:hAnsi="Times New Roman"/>
          <w:i/>
          <w:iCs/>
          <w:sz w:val="16"/>
          <w:szCs w:val="16"/>
        </w:rPr>
        <w:t xml:space="preserve">Proc. International Conference on Document Analysis and Recognition (ICDAR)</w:t>
      </w:r>
      <w:r>
        <w:rPr>
          <w:rFonts w:ascii="Times New Roman" w:cs="Times New Roman" w:eastAsia="Times New Roman" w:hAnsi="Times New Roman"/>
          <w:sz w:val="16"/>
          <w:szCs w:val="16"/>
        </w:rPr>
        <w:t xml:space="preserve">, LNCS vol. 12821, 2021, pp. 564–579.</w:t>
      </w:r>
    </w:p>
    <w:p>
      <w:pPr>
        <w:tabs>
          <w:tab w:val="left" w:pos="360"/>
        </w:tabs>
        <w:spacing w:before="0" w:after="20" w:line="228"/>
        <w:ind w:left="360" w:hanging="360"/>
        <w:jc w:val="both"/>
      </w:pPr>
      <w:r>
        <w:rPr>
          <w:sz w:val="16"/>
          <w:szCs w:val="16"/>
        </w:rPr>
        <w:t xml:space="preserve">[19]	</w:t>
      </w:r>
      <w:r>
        <w:rPr>
          <w:rFonts w:ascii="Times New Roman" w:cs="Times New Roman" w:eastAsia="Times New Roman" w:hAnsi="Times New Roman"/>
          <w:sz w:val="16"/>
          <w:szCs w:val="16"/>
        </w:rPr>
        <w:t xml:space="preserve">S. Yao, J. Zhao, D. Yu, N. Du, I. Shafran, K. Narasimhan, and Y. Cao, “ReAct: Synergizing reasoning and acting in language models,” in </w:t>
      </w:r>
      <w:r>
        <w:rPr>
          <w:rFonts w:ascii="Times New Roman" w:cs="Times New Roman" w:eastAsia="Times New Roman" w:hAnsi="Times New Roman"/>
          <w:i/>
          <w:iCs/>
          <w:sz w:val="16"/>
          <w:szCs w:val="16"/>
        </w:rPr>
        <w:t xml:space="preserve">Proc. International Conference on Learning Representations (ICLR)</w:t>
      </w:r>
      <w:r>
        <w:rPr>
          <w:rFonts w:ascii="Times New Roman" w:cs="Times New Roman" w:eastAsia="Times New Roman" w:hAnsi="Times New Roman"/>
          <w:sz w:val="16"/>
          <w:szCs w:val="16"/>
        </w:rPr>
        <w:t xml:space="preserve">, 2023.</w:t>
      </w:r>
    </w:p>
    <w:p>
      <w:pPr>
        <w:tabs>
          <w:tab w:val="left" w:pos="360"/>
        </w:tabs>
        <w:spacing w:before="0" w:after="20" w:line="228"/>
        <w:ind w:left="360" w:hanging="360"/>
        <w:jc w:val="both"/>
      </w:pPr>
      <w:r>
        <w:rPr>
          <w:sz w:val="16"/>
          <w:szCs w:val="16"/>
        </w:rPr>
        <w:t xml:space="preserve">[20]	</w:t>
      </w:r>
      <w:r>
        <w:rPr>
          <w:rFonts w:ascii="Times New Roman" w:cs="Times New Roman" w:eastAsia="Times New Roman" w:hAnsi="Times New Roman"/>
          <w:sz w:val="16"/>
          <w:szCs w:val="16"/>
        </w:rPr>
        <w:t xml:space="preserve">S. Bai, K. Chen, X. Liu, J. Wang, W. Ge, S. Song, K. Dang, P. Wang, S. Wang, J. Tang, H. Zhong, Y. Zhu, M. Yang, Z. Li, J. Wan, P. Wang, W. Ding, Z. Fu, Y. Xu, J. Ye, X. Zhang, T. Xie, Z. Cheng, H. Zhang, Z. Yang, H. Xu, and J. Lin, “Qwen2.5-VL technical report,” </w:t>
      </w:r>
      <w:r>
        <w:rPr>
          <w:rFonts w:ascii="Times New Roman" w:cs="Times New Roman" w:eastAsia="Times New Roman" w:hAnsi="Times New Roman"/>
          <w:i/>
          <w:iCs/>
          <w:sz w:val="16"/>
          <w:szCs w:val="16"/>
        </w:rPr>
        <w:t xml:space="preserve">arXiv preprint arXiv:2502.13923</w:t>
      </w:r>
      <w:r>
        <w:rPr>
          <w:rFonts w:ascii="Times New Roman" w:cs="Times New Roman" w:eastAsia="Times New Roman" w:hAnsi="Times New Roman"/>
          <w:sz w:val="16"/>
          <w:szCs w:val="16"/>
        </w:rPr>
        <w:t xml:space="preserve">, 2025.</w:t>
      </w:r>
    </w:p>
    <w:p>
      <w:pPr>
        <w:tabs>
          <w:tab w:val="left" w:pos="360"/>
        </w:tabs>
        <w:spacing w:before="0" w:after="20" w:line="228"/>
        <w:ind w:left="360" w:hanging="360"/>
        <w:jc w:val="both"/>
      </w:pPr>
      <w:r>
        <w:rPr>
          <w:sz w:val="16"/>
          <w:szCs w:val="16"/>
        </w:rPr>
        <w:t xml:space="preserve">[21]	</w:t>
      </w:r>
      <w:r>
        <w:rPr>
          <w:rFonts w:ascii="Times New Roman" w:cs="Times New Roman" w:eastAsia="Times New Roman" w:hAnsi="Times New Roman"/>
          <w:sz w:val="16"/>
          <w:szCs w:val="16"/>
        </w:rPr>
        <w:t xml:space="preserve">J. G. Fiscus, “A post-processing system to yield reduced word error rates: Recognizer output voting error reduction (ROVER),” in </w:t>
      </w:r>
      <w:r>
        <w:rPr>
          <w:rFonts w:ascii="Times New Roman" w:cs="Times New Roman" w:eastAsia="Times New Roman" w:hAnsi="Times New Roman"/>
          <w:i/>
          <w:iCs/>
          <w:sz w:val="16"/>
          <w:szCs w:val="16"/>
        </w:rPr>
        <w:t xml:space="preserve">Proc. IEEE Workshop on Automatic Speech Recognition and Understanding (ASRU)</w:t>
      </w:r>
      <w:r>
        <w:rPr>
          <w:rFonts w:ascii="Times New Roman" w:cs="Times New Roman" w:eastAsia="Times New Roman" w:hAnsi="Times New Roman"/>
          <w:sz w:val="16"/>
          <w:szCs w:val="16"/>
        </w:rPr>
        <w:t xml:space="preserve">, 1997, pp. 347–354.</w:t>
      </w:r>
    </w:p>
    <w:p>
      <w:pPr>
        <w:tabs>
          <w:tab w:val="left" w:pos="360"/>
        </w:tabs>
        <w:spacing w:before="0" w:after="20" w:line="228"/>
        <w:ind w:left="360" w:hanging="360"/>
        <w:jc w:val="both"/>
      </w:pPr>
      <w:r>
        <w:rPr>
          <w:sz w:val="16"/>
          <w:szCs w:val="16"/>
        </w:rPr>
        <w:t xml:space="preserve">[22]	</w:t>
      </w:r>
      <w:r>
        <w:rPr>
          <w:rFonts w:ascii="Times New Roman" w:cs="Times New Roman" w:eastAsia="Times New Roman" w:hAnsi="Times New Roman"/>
          <w:sz w:val="16"/>
          <w:szCs w:val="16"/>
        </w:rPr>
        <w:t xml:space="preserve">C. Guo, G. Pleiss, Y. Sun, and K. Q. Weinberger, “On calibration of modern neural networks,” in </w:t>
      </w:r>
      <w:r>
        <w:rPr>
          <w:rFonts w:ascii="Times New Roman" w:cs="Times New Roman" w:eastAsia="Times New Roman" w:hAnsi="Times New Roman"/>
          <w:i/>
          <w:iCs/>
          <w:sz w:val="16"/>
          <w:szCs w:val="16"/>
        </w:rPr>
        <w:t xml:space="preserve">Proc. 34th International Conference on Machine Learning (ICML)</w:t>
      </w:r>
      <w:r>
        <w:rPr>
          <w:rFonts w:ascii="Times New Roman" w:cs="Times New Roman" w:eastAsia="Times New Roman" w:hAnsi="Times New Roman"/>
          <w:sz w:val="16"/>
          <w:szCs w:val="16"/>
        </w:rPr>
        <w:t xml:space="preserve">, PMLR vol. 70, 2017, pp. 1321–1330.</w:t>
      </w:r>
    </w:p>
    <w:p>
      <w:pPr>
        <w:tabs>
          <w:tab w:val="left" w:pos="360"/>
        </w:tabs>
        <w:spacing w:before="0" w:after="20" w:line="228"/>
        <w:ind w:left="360" w:hanging="360"/>
        <w:jc w:val="both"/>
      </w:pPr>
      <w:r>
        <w:rPr>
          <w:sz w:val="16"/>
          <w:szCs w:val="16"/>
        </w:rPr>
        <w:t xml:space="preserve">[23]	</w:t>
      </w:r>
      <w:r>
        <w:rPr>
          <w:rFonts w:ascii="Times New Roman" w:cs="Times New Roman" w:eastAsia="Times New Roman" w:hAnsi="Times New Roman"/>
          <w:sz w:val="16"/>
          <w:szCs w:val="16"/>
        </w:rPr>
        <w:t xml:space="preserve">P. Buneman, S. Khanna, and W.-C. Tan, “Why and where: A characterization of data provenance,” in </w:t>
      </w:r>
      <w:r>
        <w:rPr>
          <w:rFonts w:ascii="Times New Roman" w:cs="Times New Roman" w:eastAsia="Times New Roman" w:hAnsi="Times New Roman"/>
          <w:i/>
          <w:iCs/>
          <w:sz w:val="16"/>
          <w:szCs w:val="16"/>
        </w:rPr>
        <w:t xml:space="preserve">Proc. 8th International Conference on Database Theory (ICDT)</w:t>
      </w:r>
      <w:r>
        <w:rPr>
          <w:rFonts w:ascii="Times New Roman" w:cs="Times New Roman" w:eastAsia="Times New Roman" w:hAnsi="Times New Roman"/>
          <w:sz w:val="16"/>
          <w:szCs w:val="16"/>
        </w:rPr>
        <w:t xml:space="preserve">, LNCS vol. 1973, 2001, pp. 316–330.</w:t>
      </w:r>
    </w:p>
    <w:p>
      <w:pPr>
        <w:tabs>
          <w:tab w:val="left" w:pos="360"/>
        </w:tabs>
        <w:spacing w:before="0" w:after="20" w:line="228"/>
        <w:ind w:left="360" w:hanging="360"/>
        <w:jc w:val="both"/>
      </w:pPr>
      <w:r>
        <w:rPr>
          <w:sz w:val="16"/>
          <w:szCs w:val="16"/>
        </w:rPr>
        <w:t xml:space="preserve">[24]	</w:t>
      </w:r>
      <w:r>
        <w:rPr>
          <w:rFonts w:ascii="Times New Roman" w:cs="Times New Roman" w:eastAsia="Times New Roman" w:hAnsi="Times New Roman"/>
          <w:sz w:val="16"/>
          <w:szCs w:val="16"/>
        </w:rPr>
        <w:t xml:space="preserve">E. Rahm and P. A. Bernstein, “A survey of approaches to automatic schema matching,” </w:t>
      </w:r>
      <w:r>
        <w:rPr>
          <w:rFonts w:ascii="Times New Roman" w:cs="Times New Roman" w:eastAsia="Times New Roman" w:hAnsi="Times New Roman"/>
          <w:i/>
          <w:iCs/>
          <w:sz w:val="16"/>
          <w:szCs w:val="16"/>
        </w:rPr>
        <w:t xml:space="preserve">The VLDB Journal</w:t>
      </w:r>
      <w:r>
        <w:rPr>
          <w:rFonts w:ascii="Times New Roman" w:cs="Times New Roman" w:eastAsia="Times New Roman" w:hAnsi="Times New Roman"/>
          <w:sz w:val="16"/>
          <w:szCs w:val="16"/>
        </w:rPr>
        <w:t xml:space="preserve">, vol. 10, no. 4, pp. 334–350, 2001.</w:t>
      </w:r>
    </w:p>
    <w:p>
      <w:pPr>
        <w:tabs>
          <w:tab w:val="left" w:pos="360"/>
        </w:tabs>
        <w:spacing w:before="0" w:after="20" w:line="228"/>
        <w:ind w:left="360" w:hanging="360"/>
        <w:jc w:val="both"/>
      </w:pPr>
      <w:r>
        <w:rPr>
          <w:sz w:val="16"/>
          <w:szCs w:val="16"/>
        </w:rPr>
        <w:t xml:space="preserve">[25]	</w:t>
      </w:r>
      <w:r>
        <w:rPr>
          <w:rFonts w:ascii="Times New Roman" w:cs="Times New Roman" w:eastAsia="Times New Roman" w:hAnsi="Times New Roman"/>
          <w:sz w:val="16"/>
          <w:szCs w:val="16"/>
        </w:rPr>
        <w:t xml:space="preserve">N. Reimers and I. Gurevych, “Sentence-BERT: Sentence embeddings using Siamese BERT-networks,” in </w:t>
      </w:r>
      <w:r>
        <w:rPr>
          <w:rFonts w:ascii="Times New Roman" w:cs="Times New Roman" w:eastAsia="Times New Roman" w:hAnsi="Times New Roman"/>
          <w:i/>
          <w:iCs/>
          <w:sz w:val="16"/>
          <w:szCs w:val="16"/>
        </w:rPr>
        <w:t xml:space="preserve">Proc. 2019 Conference on Empirical Methods in Natural Language Processing and the 9th International Joint Conference on Natural Language Processing (EMNLP-IJCNLP)</w:t>
      </w:r>
      <w:r>
        <w:rPr>
          <w:rFonts w:ascii="Times New Roman" w:cs="Times New Roman" w:eastAsia="Times New Roman" w:hAnsi="Times New Roman"/>
          <w:sz w:val="16"/>
          <w:szCs w:val="16"/>
        </w:rPr>
        <w:t xml:space="preserve">, 2019, pp. 3982–3992.</w:t>
      </w:r>
    </w:p>
    <w:p>
      <w:pPr>
        <w:tabs>
          <w:tab w:val="left" w:pos="360"/>
        </w:tabs>
        <w:spacing w:before="0" w:after="20" w:line="228"/>
        <w:ind w:left="360" w:hanging="360"/>
        <w:jc w:val="both"/>
      </w:pPr>
      <w:r>
        <w:rPr>
          <w:sz w:val="16"/>
          <w:szCs w:val="16"/>
        </w:rPr>
        <w:t xml:space="preserve">[26]	</w:t>
      </w:r>
      <w:r>
        <w:rPr>
          <w:rFonts w:ascii="Times New Roman" w:cs="Times New Roman" w:eastAsia="Times New Roman" w:hAnsi="Times New Roman"/>
          <w:sz w:val="16"/>
          <w:szCs w:val="16"/>
        </w:rPr>
        <w:t xml:space="preserve">N. Houlsby, A. Giurgiu, S. Jastrzebski, B. Morrone, Q. de Laroussilhe, A. Gesmundo, M. Attariyan, and S. Gelly, “Parameter-efficient transfer learning for NLP,” in </w:t>
      </w:r>
      <w:r>
        <w:rPr>
          <w:rFonts w:ascii="Times New Roman" w:cs="Times New Roman" w:eastAsia="Times New Roman" w:hAnsi="Times New Roman"/>
          <w:i/>
          <w:iCs/>
          <w:sz w:val="16"/>
          <w:szCs w:val="16"/>
        </w:rPr>
        <w:t xml:space="preserve">Proc. 36th International Conference on Machine Learning (ICML)</w:t>
      </w:r>
      <w:r>
        <w:rPr>
          <w:rFonts w:ascii="Times New Roman" w:cs="Times New Roman" w:eastAsia="Times New Roman" w:hAnsi="Times New Roman"/>
          <w:sz w:val="16"/>
          <w:szCs w:val="16"/>
        </w:rPr>
        <w:t xml:space="preserve">, PMLR vol. 97, 2019, pp. 2790–2799.</w:t>
      </w:r>
    </w:p>
    <w:p>
      <w:pPr>
        <w:tabs>
          <w:tab w:val="left" w:pos="360"/>
        </w:tabs>
        <w:spacing w:before="0" w:after="20" w:line="228"/>
        <w:ind w:left="360" w:hanging="360"/>
        <w:jc w:val="both"/>
      </w:pPr>
      <w:r>
        <w:rPr>
          <w:sz w:val="16"/>
          <w:szCs w:val="16"/>
        </w:rPr>
        <w:t xml:space="preserve">[27]	</w:t>
      </w:r>
      <w:r>
        <w:rPr>
          <w:rFonts w:ascii="Times New Roman" w:cs="Times New Roman" w:eastAsia="Times New Roman" w:hAnsi="Times New Roman"/>
          <w:sz w:val="16"/>
          <w:szCs w:val="16"/>
        </w:rPr>
        <w:t xml:space="preserve">E. J. Hu, Y. Shen, P. Wallis, Z. Allen-Zhu, Y. Li, S. Wang, L. Wang, and W. Chen, “LoRA: Low-rank adaptation of large language models,” in </w:t>
      </w:r>
      <w:r>
        <w:rPr>
          <w:rFonts w:ascii="Times New Roman" w:cs="Times New Roman" w:eastAsia="Times New Roman" w:hAnsi="Times New Roman"/>
          <w:i/>
          <w:iCs/>
          <w:sz w:val="16"/>
          <w:szCs w:val="16"/>
        </w:rPr>
        <w:t xml:space="preserve">Proc. International Conference on Learning Representations (ICLR)</w:t>
      </w:r>
      <w:r>
        <w:rPr>
          <w:rFonts w:ascii="Times New Roman" w:cs="Times New Roman" w:eastAsia="Times New Roman" w:hAnsi="Times New Roman"/>
          <w:sz w:val="16"/>
          <w:szCs w:val="16"/>
        </w:rPr>
        <w:t xml:space="preserve">, 2022.</w:t>
      </w:r>
    </w:p>
    <w:p>
      <w:pPr>
        <w:sectPr>
          <w:type w:val="continuous"/>
          <w:pgSz w:w="12240" w:h="15840" w:orient="portrait"/>
          <w:pgMar w:top="1080" w:right="900" w:bottom="1440" w:left="900" w:header="720" w:footer="720" w:gutter="0"/>
          <w:pgNumType/>
          <w:cols w:space="360" w:num="2" w:equalWidth="true"/>
          <w:docGrid w:linePitch="360"/>
        </w:sectPr>
      </w:pPr>
    </w:p>
    <w:p>
      <w:pPr>
        <w:spacing w:before="0" w:after="0" w:line="20" w:lineRule="exact"/>
      </w:pPr>
    </w:p>
    <w:sectPr>
      <w:type w:val="continuous"/>
      <w:pgSz w:w="12240" w:h="15840" w:orient="portrait"/>
      <w:pgMar w:top="1080" w:right="900" w:bottom="1440" w:left="9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160" w:after="80"/>
      <w:jc w:val="center"/>
      <w:outlineLvl w:val="0"/>
    </w:pPr>
    <w:rPr>
      <w:rFonts w:ascii="Times New Roman" w:cs="Times New Roman" w:eastAsia="Times New Roman" w:hAnsi="Times New Roman"/>
      <w:b w:val="false"/>
      <w:bCs w:val="false"/>
      <w:smallCaps/>
      <w:color w:val="000000"/>
      <w:sz w:val="20"/>
      <w:szCs w:val="20"/>
    </w:rPr>
  </w:style>
  <w:style w:type="paragraph" w:styleId="NoHyph">
    <w:name w:val="No Hyphenation"/>
    <w:basedOn w:val="Normal"/>
    <w:qFormat w:val="false"/>
    <w:pPr>
      <w:suppressAutoHyphens/>
    </w:pPr>
  </w:style>
  <w:style w:type="paragraph" w:styleId="Heading2">
    <w:name w:val="Heading 2"/>
    <w:basedOn w:val="Normal"/>
    <w:next w:val="Normal"/>
    <w:qFormat/>
    <w:pPr>
      <w:keepNext/>
      <w:keepLines/>
      <w:spacing w:before="120" w:after="60"/>
      <w:jc w:val="left"/>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b6ff8d520b98153e9d4aad9b9049b1b62b39c63.png"/><Relationship Id="rId7" Type="http://schemas.openxmlformats.org/officeDocument/2006/relationships/image" Target="media/ea7cd1ce68dce404288b58b64b640bd1be923b91.png"/><Relationship Id="rId8" Type="http://schemas.openxmlformats.org/officeDocument/2006/relationships/image" Target="media/be090c725c50a1e3a14ae57f77607c976056fc3a.png"/><Relationship Id="rId9" Type="http://schemas.openxmlformats.org/officeDocument/2006/relationships/image" Target="media/16b10344b8d57ef7a1f3e4f318d4cdf0314a4966.png"/><Relationship Id="rId10" Type="http://schemas.openxmlformats.org/officeDocument/2006/relationships/image" Target="media/5448ce3539ea531e1c94f3e79cf765b276d5ca4b.png"/><Relationship Id="rId11" Type="http://schemas.openxmlformats.org/officeDocument/2006/relationships/image" Target="media/6b71f92799c56c9c04538b39412614848007b53a.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Policy-Guided Schema-Aware Framework for Semi-Structured Document Information Extraction</dc:title>
  <dc:creator>Ayush Kumar</dc:creator>
  <cp:lastModifiedBy>Un-named</cp:lastModifiedBy>
  <cp:revision>1</cp:revision>
  <dcterms:created xsi:type="dcterms:W3CDTF">2026-10-25T19:29:22.509Z</dcterms:created>
  <dcterms:modified xsi:type="dcterms:W3CDTF">2026-10-25T19:29:22.510Z</dcterms:modified>
</cp:coreProperties>
</file>

<file path=docProps/custom.xml><?xml version="1.0" encoding="utf-8"?>
<Properties xmlns="http://schemas.openxmlformats.org/officeDocument/2006/custom-properties" xmlns:vt="http://schemas.openxmlformats.org/officeDocument/2006/docPropsVTypes"/>
</file>