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SIMATS ENGINEERING</w:t>
        <w:br/>
      </w:r>
      <w:r>
        <w:rPr>
          <w:b/>
          <w:color w:val="800020"/>
          <w:sz w:val="28"/>
        </w:rPr>
        <w:t>ASSESSMENT TOOL 1</w:t>
        <w:br/>
      </w:r>
    </w:p>
    <w:p>
      <w:pPr>
        <w:spacing w:after="200"/>
        <w:jc w:val="center"/>
      </w:pPr>
      <w:r>
        <w:rPr>
          <w:b/>
          <w:sz w:val="22"/>
        </w:rPr>
        <w:t>COURSE NAME: Cryptography and Network Security  |  COURSE CODE: CSA51</w:t>
        <w:br/>
      </w:r>
      <w:r>
        <w:rPr>
          <w:i/>
          <w:sz w:val="20"/>
        </w:rPr>
        <w:t>COURSE OUTCOME COVERED: CO2: Analyze Public Key crypto system strategies using RSA and key Exchange for Encryption algorithm to strengthen information security. (BL4, BL5)</w:t>
        <w:br/>
      </w:r>
      <w:r>
        <w:rPr>
          <w:b/>
          <w:color w:val="003366"/>
          <w:sz w:val="22"/>
        </w:rPr>
        <w:t>Analytical Problem Solving: 40%  |  Total Marks: 50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9F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center"/>
            </w:pPr>
            <w:r>
              <w:rPr>
                <w:b/>
                <w:color w:val="003366"/>
                <w:sz w:val="22"/>
              </w:rPr>
              <w:t>Annexure A — Code of Conduct</w:t>
              <w:br/>
            </w:r>
          </w:p>
          <w:p>
            <w:pPr>
              <w:spacing w:after="80" w:line="276" w:lineRule="auto"/>
            </w:pPr>
            <w:r>
              <w:t xml:space="preserve">I </w:t>
            </w:r>
            <w:r>
              <w:rPr>
                <w:b/>
                <w:color w:val="003366"/>
                <w:u w:val="single"/>
              </w:rPr>
              <w:t>AYUSH MOHAPATRA / 192411263</w:t>
            </w:r>
            <w: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  <w:br/>
              <w:br/>
            </w:r>
            <w:r>
              <w:rPr>
                <w:b/>
                <w:i/>
              </w:rPr>
              <w:t>Signature of the student: AYUSH MOHAPATRA (192411263)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b/>
          <w:color w:val="003366"/>
          <w:sz w:val="26"/>
        </w:rPr>
        <w:t>Analytical Problem Solving Questions &amp; Solutions</w:t>
      </w:r>
    </w:p>
    <w:p>
      <w:pPr>
        <w:spacing w:before="280" w:after="80"/>
      </w:pPr>
      <w:r>
        <w:rPr>
          <w:b/>
          <w:color w:val="800020"/>
          <w:sz w:val="23"/>
        </w:rPr>
        <w:t>1. RSA Key Generation and Security Analysis</w:t>
      </w:r>
    </w:p>
    <w:p>
      <w:pPr>
        <w:spacing w:after="80" w:line="276" w:lineRule="auto"/>
      </w:pPr>
      <w:r>
        <w:rPr>
          <w:sz w:val="22"/>
        </w:rPr>
        <w:t>Given parameters: Primes p = 17, q = 19; Public exponent e = 5; Plaintext message M = 7.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Borders>
              <w:top w:val="single" w:sz="4" w:space="0" w:color="B0C4DE"/>
              <w:left w:val="single" w:sz="20" w:space="0" w:color="003366"/>
              <w:bottom w:val="single" w:sz="4" w:space="0" w:color="B0C4DE"/>
              <w:right w:val="single" w:sz="4" w:space="0" w:color="B0C4DE"/>
            </w:tcBorders>
          </w:tcPr>
          <w:p>
            <w:pPr>
              <w:spacing w:before="80" w:after="40"/>
            </w:pPr>
            <w:r>
              <w:rPr>
                <w:b/>
                <w:color w:val="003366"/>
                <w:sz w:val="22"/>
              </w:rPr>
              <w:t>Step-by-Step RSA Computations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sz w:val="21"/>
              </w:rPr>
              <w:t>Step 1: Compute Modulus n and Euler's Totient ϕ(n)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n = p × q = 17 × 19 = 323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ϕ(n) = (p - 1) × (q - 1) = (17 - 1) × (19 - 1) = 16 × 18 = 288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sz w:val="21"/>
              </w:rPr>
              <w:t>Step 2: Compute Private Key d (Modular Multiplicative Inverse of e mod ϕ(n))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Equation: e × d ≡ 1 (mod ϕ(n)) =&gt; 5d ≡ 1 (mod 288)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Extended Euclidean Algorithm on (288, 5):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 288 = 5 × 57 + 3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 5 = 3 × 1 + 2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 3 = 2 × 1 + 1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Back Substitution: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 1 = 3 - 2 × 1 = 3 - (5 - 3) = 2 × 3 - 5 = 2 × (288 - 5 × 57) - 5 = 2 × 288 - 115 × 5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 Therefore, -115 ≡ 288 - 115 = 173 (mod 288)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Verification: 5 × 173 = 865 = 3 × 288 + 1 ≡ 1 (mod 288).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Private Key d = 173.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sz w:val="21"/>
              </w:rPr>
              <w:t>Step 3: Encryption of Message M = 7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Ciphertext C = M^e mod n = 7^5 mod 323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7^1 = 7 (mod 323)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7^2 = 49 (mod 323)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7^4 = 49^2 = 2401 = 7 × 323 + 140 ≡ 140 (mod 323)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C = 7^5 = 7^4 × 7^1 = 140 × 7 = 980 = 3 × 323 + 969 =&gt; 980 - 969 = 11 (mod 323)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Ciphertext C = 11.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sz w:val="21"/>
              </w:rPr>
              <w:t>Step 4: Decryption of Ciphertext C = 11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Decrypted Message M' = C^d mod n = 11^173 mod 323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Binary expansion of 173 = (10101101)_2 = 128 + 32 + 8 + 4 + 1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Successive Squaring mod 323: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 11^1 = 11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 11^2 = 121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 11^4 = 121^2 = 14641 = 45 × 323 + 106 ≡ 106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 11^8 = 106^2 = 11236 = 34 × 323 + 254 ≡ 254 ≡ -69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 11^16 = (-69)^2 = 4761 = 14 × 323 + 239 ≡ 239 ≡ -84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 11^32 = (-84)^2 = 7056 = 21 × 323 + 273 ≡ 273 ≡ -50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 11^64 = (-50)^2 = 2500 = 7 × 323 + 239 ≡ 239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 11^128 = 239^2 = 57121 = 176 × 323 + 273 ≡ 273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Combining components: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 M' = (11^128 × 11^32 × 11^8 × 11^4 × 11^1) mod 323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    = (273 × (-50) × (-69) × 106 × 11) mod 323 ≡ 7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Decrypted Message M' = 7 (Correctly matches original plaintext M = 7).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  <w:sz w:val="22"/>
        </w:rPr>
        <w:t xml:space="preserve">Security Evaluation: </w:t>
      </w:r>
      <w:r>
        <w:rPr>
          <w:sz w:val="22"/>
        </w:rPr>
        <w:t>Security Analysis of Small Primes:</w:t>
      </w:r>
    </w:p>
    <w:p>
      <w:pPr>
        <w:spacing w:after="80" w:line="276" w:lineRule="auto"/>
        <w:ind w:left="360"/>
      </w:pPr>
      <w:r>
        <w:rPr>
          <w:sz w:val="22"/>
        </w:rPr>
        <w:t>Using small prime numbers (p=17, q=19) results in an extremely small modulus n=323. An attacker can factor n into p and q instantaneously using basic trial division or Fermat's factorization in less than a microsecond. Once p and q are discovered, the totient ϕ(n) is known, allowing the private exponent d to be computed immediately. For production RSA security, primes must be at least 1024 to 2048 bits each (yielding n ≥ 2048 to 4096 bits) to prevent factorization via the General Number Field Sieve (GNFS). Additionally, modern implementations require Optimal Asymmetric Encryption Padding (OAEP) to avoid deterministic ciphertexts.</w:t>
      </w:r>
    </w:p>
    <w:p>
      <w:pPr>
        <w:spacing w:before="280" w:after="80"/>
      </w:pPr>
      <w:r>
        <w:rPr>
          <w:b/>
          <w:color w:val="800020"/>
          <w:sz w:val="23"/>
        </w:rPr>
        <w:t>2. ElGamal Encryption Analysis</w:t>
      </w:r>
    </w:p>
    <w:p>
      <w:pPr>
        <w:spacing w:after="80" w:line="276" w:lineRule="auto"/>
      </w:pPr>
      <w:r>
        <w:rPr>
          <w:sz w:val="22"/>
        </w:rPr>
        <w:t>Given parameters: Prime p = 23, Generator g = 5, Private key x = 7, Ephemeral random key k = 3, Plaintext M = 10.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Borders>
              <w:top w:val="single" w:sz="4" w:space="0" w:color="B0C4DE"/>
              <w:left w:val="single" w:sz="20" w:space="0" w:color="003366"/>
              <w:bottom w:val="single" w:sz="4" w:space="0" w:color="B0C4DE"/>
              <w:right w:val="single" w:sz="4" w:space="0" w:color="B0C4DE"/>
            </w:tcBorders>
          </w:tcPr>
          <w:p>
            <w:pPr>
              <w:spacing w:before="80" w:after="40"/>
            </w:pPr>
            <w:r>
              <w:rPr>
                <w:b/>
                <w:color w:val="003366"/>
                <w:sz w:val="22"/>
              </w:rPr>
              <w:t>Step-by-Step ElGamal Computations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sz w:val="21"/>
              </w:rPr>
              <w:t>Step 1: Compute Public Key y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y = g^x mod p = 5^7 mod 23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5^1 = 5, 5^2 = 25 ≡ 2, 5^4 = 4 (mod 23)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y = 5^7 = 5^4 × 5^2 × 5^1 = 4 × 2 × 5 = 40 = 1 × 23 + 17 ≡ 17 (mod 23)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Public Key y = 17.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sz w:val="21"/>
              </w:rPr>
              <w:t>Step 2: Perform Encryption to Generate Ciphertext Pair (C1, C2)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C1 = g^k mod p = 5^3 mod 23 = 125 = 5 × 23 + 10 ≡ 10 (mod 23)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C2 = (M × y^k) mod p = (10 × 17^3) mod 23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17 ≡ -6 (mod 23) =&gt; 17^2 = 36 ≡ 13 =&gt; 17^3 = 13 × 17 = 221 = 9 × 23 + 14 ≡ 14 (mod 23)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C2 = (10 × 14) mod 23 = 140 = 6 × 23 + 2 ≡ 2 (mod 23)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Ciphertext Pair (C1, C2) = (10, 2).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sz w:val="21"/>
              </w:rPr>
              <w:t>Step 3: Decrypt Ciphertext Pair (C1, C2) to Retrieve Original Message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Compute Shared Secret S = C1^x mod p = 10^7 mod 23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10^1 = 10, 10^2 = 100 ≡ 8, 10^4 = 64 ≡ 18 ≡ -5 (mod 23)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S = 10^7 = 10^4 × 10^2 × 10^1 = (-5) × 8 × 10 = -400 = -18 × 23 + 14 ≡ 14 (mod 23)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Compute Modular Inverse S^(-1) mod 23: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 14 × S^(-1) ≡ 1 (mod 23) =&gt; 14 × 5 = 70 = 3 × 23 + 1 ≡ 1 =&gt; S^(-1) = 5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Decrypt Message M = (C2 × S^(-1)) mod p = (2 × 5) mod 23 = 10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Decrypted Message M = 10 (Matches original plaintext M = 10).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  <w:sz w:val="22"/>
        </w:rPr>
        <w:t xml:space="preserve">Security Evaluation: </w:t>
      </w:r>
      <w:r>
        <w:rPr>
          <w:sz w:val="22"/>
        </w:rPr>
        <w:t>Role of Randomness (k) in ElGamal Security:</w:t>
      </w:r>
    </w:p>
    <w:p>
      <w:pPr>
        <w:spacing w:after="80" w:line="276" w:lineRule="auto"/>
        <w:ind w:left="360"/>
      </w:pPr>
      <w:r>
        <w:rPr>
          <w:sz w:val="22"/>
        </w:rPr>
        <w:t>The random ephemeral exponent k introduces non-deterministic (probabilistic) behavior. Encrypting the exact same message M multiple times with different k values produces completely distinct ciphertext pairs (C1, C2). This property provides semantic security under Chosen Plaintext Attacks (IND-CPA), rendering frequency analysis and ciphertext pattern matching ineffective. However, k must NEVER be reused across sessions; reusing k enables an eavesdropper to recover the plaintext or private key x.</w:t>
      </w:r>
    </w:p>
    <w:p>
      <w:pPr>
        <w:spacing w:before="280" w:after="80"/>
      </w:pPr>
      <w:r>
        <w:rPr>
          <w:b/>
          <w:color w:val="800020"/>
          <w:sz w:val="23"/>
        </w:rPr>
        <w:t>3. RSA Digital Signature Verification</w:t>
      </w:r>
    </w:p>
    <w:p>
      <w:pPr>
        <w:spacing w:after="80" w:line="276" w:lineRule="auto"/>
      </w:pPr>
      <w:r>
        <w:rPr>
          <w:sz w:val="22"/>
        </w:rPr>
        <w:t>Given parameters: Primes p = 11, q = 17; Public exponent e = 7; Message digest M = 8.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Borders>
              <w:top w:val="single" w:sz="4" w:space="0" w:color="B0C4DE"/>
              <w:left w:val="single" w:sz="20" w:space="0" w:color="003366"/>
              <w:bottom w:val="single" w:sz="4" w:space="0" w:color="B0C4DE"/>
              <w:right w:val="single" w:sz="4" w:space="0" w:color="B0C4DE"/>
            </w:tcBorders>
          </w:tcPr>
          <w:p>
            <w:pPr>
              <w:spacing w:before="80" w:after="40"/>
            </w:pPr>
            <w:r>
              <w:rPr>
                <w:b/>
                <w:color w:val="003366"/>
                <w:sz w:val="22"/>
              </w:rPr>
              <w:t>Step-by-Step RSA Digital Signature Computations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sz w:val="21"/>
              </w:rPr>
              <w:t>Step 1: Compute Modulus n and Euler's Totient ϕ(n)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n = p × q = 11 × 17 = 187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ϕ(n) = (p - 1) × (q - 1) = 10 × 16 = 160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sz w:val="21"/>
              </w:rPr>
              <w:t>Step 2: Compute Private Key d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Equation: e × d ≡ 1 (mod ϕ(n)) =&gt; 7d ≡ 1 (mod 160)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7 × 23 = 161 = 1 × 160 + 1 ≡ 1 (mod 160)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Private Key d = 23.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sz w:val="21"/>
              </w:rPr>
              <w:t>Step 3: Generate Digital Signature S for Message M = 8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Signature S = M^d mod n = 8^23 mod 187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8^1 = 8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8^2 = 64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8^4 = 64^2 = 4096 = 21 × 187 + 169 ≡ 169 ≡ -18 (mod 187)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8^8 = (-18)^2 = 324 = 1 × 187 + 137 ≡ 137 ≡ -50 (mod 187)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8^16 = (-50)^2 = 2500 = 13 × 187 + 69 ≡ 69 (mod 187)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S = 8^23 = (8^16 × 8^4 × 8^2 × 8^1) mod 187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 = (69 × (-18) × 64 × 8) mod 187 = 83 (mod 187)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Digital Signature S = 83.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sz w:val="21"/>
              </w:rPr>
              <w:t>Step 4: Verify Signature Using Public Key (e, n)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Verification Equation: M' = S^e mod n = 83^7 mod 187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83^1 = 83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83^2 = 6889 = 36 × 187 + 157 ≡ 157 ≡ -30 (mod 187)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83^4 = (-30)^2 = 900 = 4 × 187 + 152 ≡ 152 ≡ -35 (mod 187)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M' = 83^7 = (83^4 × 83^2 × 83^1) mod 187 = ((-35) × (-30) × 83) mod 187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  = (1050 × 83) mod 187 =&gt; (115 × 83) mod 187 = 9545 = 51 × 187 + 8 ≡ 8 (mod 187)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Verified M' = 8 (Matches original message M = 8).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  <w:sz w:val="22"/>
        </w:rPr>
        <w:t xml:space="preserve">Security Evaluation: </w:t>
      </w:r>
      <w:r>
        <w:rPr>
          <w:sz w:val="22"/>
        </w:rPr>
        <w:t>Ensuring Non-Repudiation:</w:t>
      </w:r>
    </w:p>
    <w:p>
      <w:pPr>
        <w:spacing w:after="80" w:line="276" w:lineRule="auto"/>
        <w:ind w:left="360"/>
      </w:pPr>
      <w:r>
        <w:rPr>
          <w:sz w:val="22"/>
        </w:rPr>
        <w:t>Digital signatures guarantee non-repudiation because signature generation strictly requires access to the secret private key d, held exclusively by the sender. Anyone possessing the public key (e, n) can mathematically verify the signature S^e mod n = M, but no third party can forge a valid signature without solving the computationally infeasible RSA factoring problem. Thus, the signer cannot deny sending the message.</w:t>
      </w:r>
    </w:p>
    <w:p>
      <w:pPr>
        <w:spacing w:before="280" w:after="80"/>
      </w:pPr>
      <w:r>
        <w:rPr>
          <w:b/>
          <w:color w:val="800020"/>
          <w:sz w:val="23"/>
        </w:rPr>
        <w:t>4. Diffie-Hellman with Attack Resistance Evaluation</w:t>
      </w:r>
    </w:p>
    <w:p>
      <w:pPr>
        <w:spacing w:after="80" w:line="276" w:lineRule="auto"/>
      </w:pPr>
      <w:r>
        <w:rPr>
          <w:sz w:val="22"/>
        </w:rPr>
        <w:t>Given parameters: Shared Prime p = 29, Generator g = 2; User A private key a = 5; User B private key b = 12.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Borders>
              <w:top w:val="single" w:sz="4" w:space="0" w:color="B0C4DE"/>
              <w:left w:val="single" w:sz="20" w:space="0" w:color="003366"/>
              <w:bottom w:val="single" w:sz="4" w:space="0" w:color="B0C4DE"/>
              <w:right w:val="single" w:sz="4" w:space="0" w:color="B0C4DE"/>
            </w:tcBorders>
          </w:tcPr>
          <w:p>
            <w:pPr>
              <w:spacing w:before="80" w:after="40"/>
            </w:pPr>
            <w:r>
              <w:rPr>
                <w:b/>
                <w:color w:val="003366"/>
                <w:sz w:val="22"/>
              </w:rPr>
              <w:t>Step-by-Step Diffie-Hellman Key Exchange Computations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sz w:val="21"/>
              </w:rPr>
              <w:t>Step 1: Compute Public Keys for Both Users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User A Public Key (A): A = g^a mod p = 2^5 mod 29 = 32 = 1 × 29 + 3 ≡ 3 (mod 29)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User B Public Key (B): B = g^b mod p = 2^12 mod 29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 2^5 = 3 ≡ 3 =&gt; 2^10 = 9 =&gt; 2^12 = 9 × 4 = 36 = 1 × 29 + 7 ≡ 7 (mod 29)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Public Keys: A = 3, B = 7.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sz w:val="21"/>
              </w:rPr>
              <w:t>Step 2: Compute Shared Secret Key K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User A computes: K_A = B^a mod p = 7^5 mod 29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 7^1 = 7, 7^2 = 49 ≡ 20 ≡ -9, 7^4 = (-9)^2 = 81 ≡ 23 ≡ -6 (mod 29)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 K_A = 7^5 = 7^4 × 7^1 = (-6) × 7 = -42 = -2 × 29 + 16 ≡ 16 (mod 29)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User B computes: K_B = A^b mod p = 3^12 mod 29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 3^3 = 27 ≡ -2 =&gt; 3^12 = (-2)^4 = 16 (mod 29)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Shared Secret Key K_A = K_B = 16.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  <w:sz w:val="22"/>
        </w:rPr>
        <w:t xml:space="preserve">Security Evaluation: </w:t>
      </w:r>
      <w:r>
        <w:rPr>
          <w:sz w:val="22"/>
        </w:rPr>
        <w:t>Man-in-the-Middle (MitM) Attack Vulnerability:</w:t>
      </w:r>
    </w:p>
    <w:p>
      <w:pPr>
        <w:spacing w:after="80" w:line="276" w:lineRule="auto"/>
        <w:ind w:left="360"/>
      </w:pPr>
      <w:r>
        <w:rPr>
          <w:sz w:val="22"/>
        </w:rPr>
        <w:t>Unauthenticated Diffie-Hellman does not authenticate the identity of the communicating parties. An active attacker (Mallory) intercepting the channel can replace A's public key (A=3) with Mallory's public key M1, and B's public key (B=7) with M2. Consequently, A establishes a shared key with Mallory, and B establishes a separate shared key with Mallory. Mallory decrypts, inspects, modifies, and re-encrypts all traffic undetected.</w:t>
      </w:r>
    </w:p>
    <w:p>
      <w:pPr>
        <w:spacing w:after="80" w:line="276" w:lineRule="auto"/>
      </w:pPr>
      <w:r>
        <w:rPr>
          <w:b/>
          <w:sz w:val="22"/>
        </w:rPr>
        <w:t xml:space="preserve">Cryptographic Countermeasure: </w:t>
      </w:r>
      <w:r>
        <w:rPr>
          <w:sz w:val="22"/>
        </w:rPr>
        <w:t>Recommended Mitigation:</w:t>
      </w:r>
    </w:p>
    <w:p>
      <w:pPr>
        <w:spacing w:after="80" w:line="276" w:lineRule="auto"/>
        <w:ind w:left="360"/>
      </w:pPr>
      <w:r>
        <w:rPr>
          <w:sz w:val="22"/>
        </w:rPr>
        <w:t>To eliminate MitM attacks, use Authenticated Diffie-Hellman protocols such as Station-to-Station (STS) or Ephemeral Diffie-Hellman with RSA/ECDSA Digital Signatures (DHE/ECDHE). Under these schemes, both users sign their public key exchange parameters using long-term digital certificates validated through a Public Key Infrastructure (PKI).</w:t>
      </w:r>
    </w:p>
    <w:p>
      <w:pPr>
        <w:spacing w:before="280" w:after="80"/>
      </w:pPr>
      <w:r>
        <w:rPr>
          <w:b/>
          <w:color w:val="800020"/>
          <w:sz w:val="23"/>
        </w:rPr>
        <w:t>5. Hybrid Encryption System Analysis</w:t>
      </w:r>
    </w:p>
    <w:p>
      <w:pPr>
        <w:spacing w:after="80" w:line="276" w:lineRule="auto"/>
      </w:pPr>
      <w:r>
        <w:rPr>
          <w:sz w:val="22"/>
        </w:rPr>
        <w:t>Given parameters: RSA key exchange time = 5 ms (performed once per session); AES encryption time = 0.5 ms per block; Total data blocks = 500.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Borders>
              <w:top w:val="single" w:sz="4" w:space="0" w:color="B0C4DE"/>
              <w:left w:val="single" w:sz="20" w:space="0" w:color="003366"/>
              <w:bottom w:val="single" w:sz="4" w:space="0" w:color="B0C4DE"/>
              <w:right w:val="single" w:sz="4" w:space="0" w:color="B0C4DE"/>
            </w:tcBorders>
          </w:tcPr>
          <w:p>
            <w:pPr>
              <w:spacing w:before="80" w:after="40"/>
            </w:pPr>
            <w:r>
              <w:rPr>
                <w:b/>
                <w:color w:val="003366"/>
                <w:sz w:val="22"/>
              </w:rPr>
              <w:t>Step-by-Step Computational Performance Analysis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sz w:val="21"/>
              </w:rPr>
              <w:t>1. Total Time for Hybrid Encryption System (RSA + AES):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T_hybrid = T_RSA + (N_blocks × T_AES)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T_hybrid = 5 ms + (500 × 0.5 ms) = 5 ms + 250 ms = 255 ms.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sz w:val="21"/>
              </w:rPr>
              <w:t>2. Total Time using Only RSA for Encrypting All 500 Data Blocks: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T_RSA_only = N_blocks × T_RSA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T_RSA_only = 500 × 5 ms = 2500 ms.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sz w:val="21"/>
              </w:rPr>
              <w:t>3. Quantitative Performance Comparison &amp; Speedup: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Time Saved = 2500 ms - 255 ms = 2245 ms (89.8% reduction in latency!).</w:t>
            </w:r>
          </w:p>
          <w:p>
            <w:pPr>
              <w:spacing w:after="40" w:line="276" w:lineRule="auto"/>
            </w:pPr>
            <w:r>
              <w:rPr>
                <w:rFonts w:ascii="Consolas" w:hAnsi="Consolas"/>
                <w:sz w:val="21"/>
              </w:rPr>
              <w:t xml:space="preserve">   Speedup Factor = T_RSA_only / T_hybrid = 2500 / 255 ≈ 9.80x faster.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  <w:sz w:val="22"/>
        </w:rPr>
        <w:t xml:space="preserve">Engineering Rationale: </w:t>
      </w:r>
      <w:r>
        <w:rPr>
          <w:sz w:val="22"/>
        </w:rPr>
        <w:t>Architectural Efficiency Rationale:</w:t>
      </w:r>
    </w:p>
    <w:p>
      <w:pPr>
        <w:spacing w:after="80" w:line="276" w:lineRule="auto"/>
        <w:ind w:left="360"/>
      </w:pPr>
      <w:r>
        <w:rPr>
          <w:sz w:val="22"/>
        </w:rPr>
        <w:t>Asymmetric algorithms (RSA) rely on computationally intensive modular exponentiations on large numbers (2048+ bit integers), resulting in significant CPU overhead. Conversely, symmetric ciphers (AES) utilize lightweight hardware-accelerated substitution-permutation networks operating on 128-bit blocks. Hybrid encryption achieves optimal performance by leveraging asymmetric RSA exclusively once per session to exchange a 256-bit AES symmetric key, and then delegating bulk payload encryption to AES.</w:t>
      </w:r>
    </w:p>
    <w:p>
      <w:pPr>
        <w:spacing w:after="80" w:line="276" w:lineRule="auto"/>
      </w:pPr>
      <w:r>
        <w:rPr>
          <w:b/>
          <w:sz w:val="22"/>
        </w:rPr>
        <w:t xml:space="preserve">Industry Adoption: </w:t>
      </w:r>
      <w:r>
        <w:rPr>
          <w:sz w:val="22"/>
        </w:rPr>
        <w:t>Modern Real-World Usage:</w:t>
      </w:r>
    </w:p>
    <w:p>
      <w:pPr>
        <w:spacing w:after="80" w:line="276" w:lineRule="auto"/>
        <w:ind w:left="360"/>
      </w:pPr>
      <w:r>
        <w:rPr>
          <w:sz w:val="22"/>
        </w:rPr>
        <w:t>Hybrid encryption is the foundational architecture of HTTPS/TLS 1.3, SSHv2, OpenPGP, and IPsec VPNs, providing scalable, high-throughput bulk security without secret key pre-sharing.</w:t>
      </w:r>
    </w:p>
    <w:p>
      <w:pPr>
        <w:spacing w:after="200"/>
      </w:pPr>
    </w:p>
    <w:p>
      <w:pPr>
        <w:spacing w:before="280" w:after="80"/>
      </w:pPr>
      <w:r>
        <w:rPr>
          <w:b/>
          <w:color w:val="003366"/>
          <w:sz w:val="26"/>
        </w:rPr>
        <w:t>RUBRICS FOR CALCULATION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Criteria</w:t>
            </w:r>
          </w:p>
        </w:tc>
        <w:tc>
          <w:tcPr>
            <w:tcW w:type="dxa" w:w="1987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Weightage</w:t>
            </w:r>
          </w:p>
        </w:tc>
        <w:tc>
          <w:tcPr>
            <w:tcW w:type="dxa" w:w="1987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Level 4 (Exemplary)</w:t>
            </w:r>
          </w:p>
        </w:tc>
        <w:tc>
          <w:tcPr>
            <w:tcW w:type="dxa" w:w="1987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Level 3 (Proficient)</w:t>
            </w:r>
          </w:p>
        </w:tc>
        <w:tc>
          <w:tcPr>
            <w:tcW w:type="dxa" w:w="1987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Level 1-2 (Developing)</w:t>
            </w:r>
          </w:p>
        </w:tc>
      </w:tr>
      <w:tr>
        <w:tc>
          <w:tcPr>
            <w:tcW w:type="dxa" w:w="1987"/>
            <w:shd w:fill="F9FAFB"/>
          </w:tcPr>
          <w:p>
            <w:pPr>
              <w:spacing w:before="60" w:after="60"/>
            </w:pPr>
            <w:r>
              <w:rPr>
                <w:b/>
                <w:sz w:val="18"/>
              </w:rPr>
              <w:t>Problem Understanding</w:t>
            </w:r>
          </w:p>
        </w:tc>
        <w:tc>
          <w:tcPr>
            <w:tcW w:type="dxa" w:w="1987"/>
            <w:shd w:fill="F9FAFB"/>
          </w:tcPr>
          <w:p>
            <w:pPr>
              <w:spacing w:before="60" w:after="60"/>
            </w:pPr>
            <w:r>
              <w:rPr>
                <w:b/>
                <w:sz w:val="18"/>
              </w:rPr>
              <w:t>20%</w:t>
            </w:r>
          </w:p>
        </w:tc>
        <w:tc>
          <w:tcPr>
            <w:tcW w:type="dxa" w:w="1987"/>
            <w:shd w:fill="F9FAFB"/>
          </w:tcPr>
          <w:p>
            <w:pPr>
              <w:spacing w:before="60" w:after="60"/>
            </w:pPr>
            <w:r>
              <w:rPr>
                <w:sz w:val="18"/>
              </w:rPr>
              <w:t>Clearly interprets problem, identifies all parameters accurately</w:t>
            </w:r>
          </w:p>
        </w:tc>
        <w:tc>
          <w:tcPr>
            <w:tcW w:type="dxa" w:w="1987"/>
            <w:shd w:fill="F9FAFB"/>
          </w:tcPr>
          <w:p>
            <w:pPr>
              <w:spacing w:before="60" w:after="60"/>
            </w:pPr>
            <w:r>
              <w:rPr>
                <w:sz w:val="18"/>
              </w:rPr>
              <w:t>Understands problem with minor gaps</w:t>
            </w:r>
          </w:p>
        </w:tc>
        <w:tc>
          <w:tcPr>
            <w:tcW w:type="dxa" w:w="1987"/>
            <w:shd w:fill="F9FAFB"/>
          </w:tcPr>
          <w:p>
            <w:pPr>
              <w:spacing w:before="60" w:after="60"/>
            </w:pPr>
            <w:r>
              <w:rPr>
                <w:sz w:val="18"/>
              </w:rPr>
              <w:t>Partial/poor understanding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b/>
                <w:sz w:val="18"/>
              </w:rPr>
              <w:t>Method Selection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b/>
                <w:sz w:val="18"/>
              </w:rPr>
              <w:t>20%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Selects most appropriate method/formula with strong justification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Selects correct method with minor errors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Inappropriate or flawed method</w:t>
            </w:r>
          </w:p>
        </w:tc>
      </w:tr>
      <w:tr>
        <w:tc>
          <w:tcPr>
            <w:tcW w:type="dxa" w:w="1987"/>
            <w:shd w:fill="F9FAFB"/>
          </w:tcPr>
          <w:p>
            <w:pPr>
              <w:spacing w:before="60" w:after="60"/>
            </w:pPr>
            <w:r>
              <w:rPr>
                <w:b/>
                <w:sz w:val="18"/>
              </w:rPr>
              <w:t>Solution Process</w:t>
            </w:r>
          </w:p>
        </w:tc>
        <w:tc>
          <w:tcPr>
            <w:tcW w:type="dxa" w:w="1987"/>
            <w:shd w:fill="F9FAFB"/>
          </w:tcPr>
          <w:p>
            <w:pPr>
              <w:spacing w:before="60" w:after="60"/>
            </w:pPr>
            <w:r>
              <w:rPr>
                <w:b/>
                <w:sz w:val="18"/>
              </w:rPr>
              <w:t>25%</w:t>
            </w:r>
          </w:p>
        </w:tc>
        <w:tc>
          <w:tcPr>
            <w:tcW w:type="dxa" w:w="1987"/>
            <w:shd w:fill="F9FAFB"/>
          </w:tcPr>
          <w:p>
            <w:pPr>
              <w:spacing w:before="60" w:after="60"/>
            </w:pPr>
            <w:r>
              <w:rPr>
                <w:sz w:val="18"/>
              </w:rPr>
              <w:t>Logical, systematic steps with correct approach throughout</w:t>
            </w:r>
          </w:p>
        </w:tc>
        <w:tc>
          <w:tcPr>
            <w:tcW w:type="dxa" w:w="1987"/>
            <w:shd w:fill="F9FAFB"/>
          </w:tcPr>
          <w:p>
            <w:pPr>
              <w:spacing w:before="60" w:after="60"/>
            </w:pPr>
            <w:r>
              <w:rPr>
                <w:sz w:val="18"/>
              </w:rPr>
              <w:t>Mostly correct steps with minor mistakes</w:t>
            </w:r>
          </w:p>
        </w:tc>
        <w:tc>
          <w:tcPr>
            <w:tcW w:type="dxa" w:w="1987"/>
            <w:shd w:fill="F9FAFB"/>
          </w:tcPr>
          <w:p>
            <w:pPr>
              <w:spacing w:before="60" w:after="60"/>
            </w:pPr>
            <w:r>
              <w:rPr>
                <w:sz w:val="18"/>
              </w:rPr>
              <w:t>Disorganized or incorrect process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b/>
                <w:sz w:val="18"/>
              </w:rPr>
              <w:t>Accuracy of Calculation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b/>
                <w:sz w:val="18"/>
              </w:rPr>
              <w:t>20%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All calculations accurate; correct final answer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Minor calculation errors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Frequent calculation errors</w:t>
            </w:r>
          </w:p>
        </w:tc>
      </w:tr>
      <w:tr>
        <w:tc>
          <w:tcPr>
            <w:tcW w:type="dxa" w:w="1987"/>
            <w:shd w:fill="F9FAFB"/>
          </w:tcPr>
          <w:p>
            <w:pPr>
              <w:spacing w:before="60" w:after="60"/>
            </w:pPr>
            <w:r>
              <w:rPr>
                <w:b/>
                <w:sz w:val="18"/>
              </w:rPr>
              <w:t>Interpretation of Results</w:t>
            </w:r>
          </w:p>
        </w:tc>
        <w:tc>
          <w:tcPr>
            <w:tcW w:type="dxa" w:w="1987"/>
            <w:shd w:fill="F9FAFB"/>
          </w:tcPr>
          <w:p>
            <w:pPr>
              <w:spacing w:before="60" w:after="60"/>
            </w:pPr>
            <w:r>
              <w:rPr>
                <w:b/>
                <w:sz w:val="18"/>
              </w:rPr>
              <w:t>15%</w:t>
            </w:r>
          </w:p>
        </w:tc>
        <w:tc>
          <w:tcPr>
            <w:tcW w:type="dxa" w:w="1987"/>
            <w:shd w:fill="F9FAFB"/>
          </w:tcPr>
          <w:p>
            <w:pPr>
              <w:spacing w:before="60" w:after="60"/>
            </w:pPr>
            <w:r>
              <w:rPr>
                <w:sz w:val="18"/>
              </w:rPr>
              <w:t>Clearly interprets results with units and engineering relevance</w:t>
            </w:r>
          </w:p>
        </w:tc>
        <w:tc>
          <w:tcPr>
            <w:tcW w:type="dxa" w:w="1987"/>
            <w:shd w:fill="F9FAFB"/>
          </w:tcPr>
          <w:p>
            <w:pPr>
              <w:spacing w:before="60" w:after="60"/>
            </w:pPr>
            <w:r>
              <w:rPr>
                <w:sz w:val="18"/>
              </w:rPr>
              <w:t>Basic interpretation with minor omissions</w:t>
            </w:r>
          </w:p>
        </w:tc>
        <w:tc>
          <w:tcPr>
            <w:tcW w:type="dxa" w:w="1987"/>
            <w:shd w:fill="F9FAFB"/>
          </w:tcPr>
          <w:p>
            <w:pPr>
              <w:spacing w:before="60" w:after="60"/>
            </w:pPr>
            <w:r>
              <w:rPr>
                <w:sz w:val="18"/>
              </w:rPr>
              <w:t>Unclear or missing interpretation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