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SIMATS ENGINEERING</w:t>
        <w:br/>
      </w:r>
      <w:r>
        <w:rPr>
          <w:b/>
          <w:color w:val="800020"/>
          <w:sz w:val="28"/>
        </w:rPr>
        <w:t>ASSESSMENT TOOL 2</w:t>
        <w:br/>
      </w:r>
    </w:p>
    <w:p>
      <w:pPr>
        <w:spacing w:after="200"/>
        <w:jc w:val="center"/>
      </w:pPr>
      <w:r>
        <w:rPr>
          <w:b/>
          <w:sz w:val="22"/>
        </w:rPr>
        <w:t>COURSE NAME: CRYPTOGRAPHY AND NETWORK SECURITY  |  COURSE CODE: CSA51</w:t>
        <w:br/>
      </w:r>
      <w:r>
        <w:rPr>
          <w:i/>
          <w:sz w:val="20"/>
        </w:rPr>
        <w:t>COURSE OUTCOME COVERED: CO2: Analyze Public Key crypto system strategies using RSA and key Exchange for Encryption algorithm to strengthen information security. (BL4, BL5)</w:t>
        <w:br/>
      </w:r>
      <w:r>
        <w:rPr>
          <w:b/>
          <w:color w:val="003366"/>
          <w:sz w:val="22"/>
        </w:rPr>
        <w:t>Scenario-Based : 20%  |  Total Marks: 50</w:t>
      </w:r>
    </w:p>
    <w:tbl>
      <w:tblPr>
        <w:tblW w:type="auto" w:w="0"/>
        <w:jc w:val="center"/>
        <w:tblLook w:firstColumn="1" w:firstRow="1" w:lastColumn="0" w:lastRow="0" w:noHBand="0" w:noVBand="1" w:val="04A0"/>
      </w:tblPr>
      <w:tblGrid>
        <w:gridCol w:w="9936"/>
      </w:tblGrid>
      <w:tr>
        <w:tc>
          <w:tcPr>
            <w:tcW w:type="dxa" w:w="9360"/>
            <w:shd w:fill="F8F9FA"/>
            <w:tcBorders>
              <w:top w:val="single" w:sz="6" w:space="0" w:color="003366"/>
              <w:left w:val="single" w:sz="6" w:space="0" w:color="003366"/>
              <w:bottom w:val="single" w:sz="6" w:space="0" w:color="003366"/>
              <w:right w:val="single" w:sz="6" w:space="0" w:color="003366"/>
            </w:tcBorders>
          </w:tcPr>
          <w:p>
            <w:pPr>
              <w:jc w:val="center"/>
            </w:pPr>
            <w:r>
              <w:rPr>
                <w:b/>
                <w:color w:val="003366"/>
                <w:sz w:val="22"/>
              </w:rPr>
              <w:t>Annexure A — Code of Conduct</w:t>
              <w:br/>
            </w:r>
          </w:p>
          <w:p>
            <w:pPr>
              <w:spacing w:after="80" w:line="276" w:lineRule="auto"/>
            </w:pPr>
            <w:r>
              <w:t xml:space="preserve">I </w:t>
            </w:r>
            <w:r>
              <w:rPr>
                <w:b/>
                <w:color w:val="003366"/>
                <w:u w:val="single"/>
              </w:rPr>
              <w:t>AYUSH MOHAPATRA / 192411263</w:t>
            </w:r>
            <w:r>
              <w:t xml:space="preserve"> certify that this submission is my original work and that I have adhered to the guidelines specified for this assessment. I understand that any violation of academic integrity rules will result in disciplinary action.</w:t>
              <w:br/>
              <w:br/>
            </w:r>
            <w:r>
              <w:rPr>
                <w:b/>
                <w:i/>
              </w:rPr>
              <w:t>Signature of the student: AYUSH MOHAPATRA (192411263)</w:t>
            </w:r>
          </w:p>
        </w:tc>
      </w:tr>
    </w:tbl>
    <w:p>
      <w:pPr>
        <w:spacing w:after="160"/>
      </w:pPr>
    </w:p>
    <w:p>
      <w:pPr>
        <w:spacing w:before="280" w:after="80"/>
      </w:pPr>
      <w:r>
        <w:rPr>
          <w:b/>
          <w:color w:val="003366"/>
          <w:sz w:val="26"/>
        </w:rPr>
        <w:t>Scenario-Based Cryptography &amp; Security Solutions</w:t>
      </w:r>
    </w:p>
    <w:p>
      <w:pPr>
        <w:spacing w:before="280" w:after="80"/>
      </w:pPr>
      <w:r>
        <w:rPr>
          <w:b/>
          <w:color w:val="800020"/>
          <w:sz w:val="23"/>
        </w:rPr>
        <w:t>1. Secure Password Storage in Web Applications</w:t>
      </w:r>
    </w:p>
    <w:p>
      <w:pPr>
        <w:spacing w:after="80" w:line="276" w:lineRule="auto"/>
      </w:pPr>
      <w:r>
        <w:rPr>
          <w:sz w:val="22"/>
        </w:rPr>
        <w:t>Scenario: A web application stores user passwords and needs to protect them against database breaches.</w:t>
      </w:r>
    </w:p>
    <w:p>
      <w:pPr>
        <w:spacing w:after="80" w:line="276" w:lineRule="auto"/>
      </w:pPr>
      <w:r>
        <w:rPr>
          <w:b/>
          <w:sz w:val="22"/>
        </w:rPr>
        <w:t xml:space="preserve">A. Plaintext Vulnerabilities: </w:t>
      </w:r>
      <w:r>
        <w:rPr>
          <w:sz w:val="22"/>
        </w:rPr>
        <w:t>Why Storing Plaintext Passwords is Insecure:</w:t>
      </w:r>
    </w:p>
    <w:p>
      <w:pPr>
        <w:spacing w:after="80" w:line="276" w:lineRule="auto"/>
        <w:ind w:left="360"/>
      </w:pPr>
      <w:r>
        <w:rPr>
          <w:sz w:val="22"/>
        </w:rPr>
        <w:t>Storing passwords in plaintext leaves user credentials completely exposed to immediate theft if the underlying database is compromised via SQL Injection (SQLi), insider threats, or server breaches. Attackers gaining read access to plaintext tables can immediately compromise user accounts across multiple services due to widespread user password reuse. Furthermore, plaintext storage violates global compliance standards such as PCI-DSS, GDPR, and ISO 27001.</w:t>
      </w:r>
    </w:p>
    <w:p>
      <w:pPr>
        <w:spacing w:after="80" w:line="276" w:lineRule="auto"/>
      </w:pPr>
      <w:r>
        <w:rPr>
          <w:b/>
          <w:sz w:val="22"/>
        </w:rPr>
        <w:t xml:space="preserve">B. Secure Method &amp; Justification: </w:t>
      </w:r>
      <w:r>
        <w:rPr>
          <w:sz w:val="22"/>
        </w:rPr>
        <w:t>Recommended Secure Password Storage Architecture:</w:t>
      </w:r>
    </w:p>
    <w:p>
      <w:pPr>
        <w:spacing w:after="80" w:line="276" w:lineRule="auto"/>
        <w:ind w:left="360"/>
      </w:pPr>
      <w:r>
        <w:rPr>
          <w:sz w:val="22"/>
        </w:rPr>
        <w:t>Use Salted Key Derivation Hashing via Argon2id (or bcrypt / PBKDF2) with work factor tuning.</w:t>
      </w:r>
    </w:p>
    <w:p>
      <w:pPr>
        <w:spacing w:after="80" w:line="276" w:lineRule="auto"/>
        <w:ind w:left="360"/>
      </w:pPr>
      <w:r>
        <w:rPr>
          <w:sz w:val="22"/>
        </w:rPr>
        <w:t>1. Cryptographic Salt: A unique, cryptographically secure 128-bit random salt is generated per user account and concatenated with the password before hashing. This guarantees that two users with identical passwords will produce completely distinct hash strings, neutralizing precomputed Rainbow Table and dictionary attacks.</w:t>
      </w:r>
    </w:p>
    <w:p>
      <w:pPr>
        <w:spacing w:after="80" w:line="276" w:lineRule="auto"/>
        <w:ind w:left="360"/>
      </w:pPr>
      <w:r>
        <w:rPr>
          <w:sz w:val="22"/>
        </w:rPr>
        <w:t>2. Adaptive Work Factor (Key Stretching): Algorithms like Argon2id and bcrypt incorporate configurable CPU, Memory, and Parallelism cost parameters. Argon2id specifically enforces memory-hardness, rendering GPU and ASIC-accelerated brute-force cracking attempts computationally prohibitive and economically unfeasible.</w:t>
      </w:r>
    </w:p>
    <w:p>
      <w:pPr>
        <w:spacing w:before="280" w:after="80"/>
      </w:pPr>
      <w:r>
        <w:rPr>
          <w:b/>
          <w:color w:val="800020"/>
          <w:sz w:val="23"/>
        </w:rPr>
        <w:t>2. Digital Signature for Document Authentication</w:t>
      </w:r>
    </w:p>
    <w:p>
      <w:pPr>
        <w:spacing w:after="80" w:line="276" w:lineRule="auto"/>
      </w:pPr>
      <w:r>
        <w:rPr>
          <w:sz w:val="22"/>
        </w:rPr>
        <w:t>Scenario: A company wants to ensure that official documents sent electronically are authentic and unaltered.</w:t>
      </w:r>
    </w:p>
    <w:p>
      <w:pPr>
        <w:spacing w:after="80" w:line="276" w:lineRule="auto"/>
      </w:pPr>
      <w:r>
        <w:rPr>
          <w:b/>
          <w:sz w:val="22"/>
        </w:rPr>
        <w:t xml:space="preserve">A. Operational Process: </w:t>
      </w:r>
      <w:r>
        <w:rPr>
          <w:sz w:val="22"/>
        </w:rPr>
        <w:t>Implementation of Digital Signatures for Document Exchange:</w:t>
      </w:r>
    </w:p>
    <w:p>
      <w:pPr>
        <w:spacing w:after="80" w:line="276" w:lineRule="auto"/>
        <w:ind w:left="360"/>
      </w:pPr>
      <w:r>
        <w:rPr>
          <w:sz w:val="22"/>
        </w:rPr>
        <w:t>Digital signatures combine cryptographic hash functions with asymmetric public-key cryptography to authenticate electronic documents through a four-stage workflow:</w:t>
      </w:r>
    </w:p>
    <w:p>
      <w:pPr>
        <w:spacing w:after="80" w:line="276" w:lineRule="auto"/>
        <w:ind w:left="360"/>
      </w:pPr>
      <w:r>
        <w:rPr>
          <w:sz w:val="22"/>
        </w:rPr>
        <w:t>1. Hash Generation: The sender computes a cryptographic digest of the document using SHA-256.</w:t>
      </w:r>
    </w:p>
    <w:p>
      <w:pPr>
        <w:spacing w:after="80" w:line="276" w:lineRule="auto"/>
        <w:ind w:left="360"/>
      </w:pPr>
      <w:r>
        <w:rPr>
          <w:sz w:val="22"/>
        </w:rPr>
        <w:t>2. Signature Creation: The sender encrypts the SHA-256 hash using their private key (e.g., RSA-2048 or ECDSA-P256) to produce the digital signature.</w:t>
      </w:r>
    </w:p>
    <w:p>
      <w:pPr>
        <w:spacing w:after="80" w:line="276" w:lineRule="auto"/>
        <w:ind w:left="360"/>
      </w:pPr>
      <w:r>
        <w:rPr>
          <w:sz w:val="22"/>
        </w:rPr>
        <w:t>3. Transmission: The document and signature are bundled and sent to the recipient alongside the sender's X.509 digital certificate.</w:t>
      </w:r>
    </w:p>
    <w:p>
      <w:pPr>
        <w:spacing w:after="80" w:line="276" w:lineRule="auto"/>
        <w:ind w:left="360"/>
      </w:pPr>
      <w:r>
        <w:rPr>
          <w:sz w:val="22"/>
        </w:rPr>
        <w:t>4. Verification: The recipient decrypts the signature using the sender's verified public key to obtain hash H1, independently calculates document hash H2 using SHA-256, and verifies H1 == H2.</w:t>
      </w:r>
    </w:p>
    <w:p>
      <w:pPr>
        <w:spacing w:after="80" w:line="276" w:lineRule="auto"/>
      </w:pPr>
      <w:r>
        <w:rPr>
          <w:b/>
          <w:sz w:val="22"/>
        </w:rPr>
        <w:t xml:space="preserve">B. Security Justification: </w:t>
      </w:r>
      <w:r>
        <w:rPr>
          <w:sz w:val="22"/>
        </w:rPr>
        <w:t>Guarantees of Data Integrity and Non-Repudiation:</w:t>
      </w:r>
    </w:p>
    <w:p>
      <w:pPr>
        <w:spacing w:after="80" w:line="276" w:lineRule="auto"/>
        <w:ind w:left="360"/>
      </w:pPr>
      <w:r>
        <w:rPr>
          <w:sz w:val="22"/>
        </w:rPr>
        <w:t>• Data Integrity: The collision resistance and avalanche effect of SHA-256 ensure that if even a single bit of the document is altered during transit, the calculated hash H2 will mismatch H1, alerting the recipient to tampering.</w:t>
      </w:r>
    </w:p>
    <w:p>
      <w:pPr>
        <w:spacing w:after="80" w:line="276" w:lineRule="auto"/>
        <w:ind w:left="360"/>
      </w:pPr>
      <w:r>
        <w:rPr>
          <w:sz w:val="22"/>
        </w:rPr>
        <w:t>• Non-Repudiation: Because the digital signature could only have been generated using the sender's unique secret private key, the sender cannot deny having created and authorized the document.</w:t>
      </w:r>
    </w:p>
    <w:p>
      <w:pPr>
        <w:spacing w:before="280" w:after="80"/>
      </w:pPr>
      <w:r>
        <w:rPr>
          <w:b/>
          <w:color w:val="800020"/>
          <w:sz w:val="23"/>
        </w:rPr>
        <w:t>3. Preventing Replay Attacks in Online Transactions</w:t>
      </w:r>
    </w:p>
    <w:p>
      <w:pPr>
        <w:spacing w:after="80" w:line="276" w:lineRule="auto"/>
      </w:pPr>
      <w:r>
        <w:rPr>
          <w:sz w:val="22"/>
        </w:rPr>
        <w:t>Scenario: An online payment system is vulnerable to replay attacks where attackers resend previously captured valid transaction payloads.</w:t>
      </w:r>
    </w:p>
    <w:p>
      <w:pPr>
        <w:spacing w:after="80" w:line="276" w:lineRule="auto"/>
      </w:pPr>
      <w:r>
        <w:rPr>
          <w:b/>
          <w:sz w:val="22"/>
        </w:rPr>
        <w:t xml:space="preserve">A. Attack Mechanics: </w:t>
      </w:r>
      <w:r>
        <w:rPr>
          <w:sz w:val="22"/>
        </w:rPr>
        <w:t>Mechanism of Replay Attacks in Payment Systems:</w:t>
      </w:r>
    </w:p>
    <w:p>
      <w:pPr>
        <w:spacing w:after="80" w:line="276" w:lineRule="auto"/>
        <w:ind w:left="360"/>
      </w:pPr>
      <w:r>
        <w:rPr>
          <w:sz w:val="22"/>
        </w:rPr>
        <w:t>A replay attack occurs when an eavesdropping adversary intercepts valid network packets (e.g., a cryptographically signed money transfer request for $500) transmitted between a client and a banking server. Even though the payload is encrypted or signed, the attacker re-transmits the exact identical packet multiple times to the banking endpoint. If the server lacks stateful transaction verification, it processes the request repeatedly, executing unauthorized duplicate financial transfers.</w:t>
      </w:r>
    </w:p>
    <w:p>
      <w:pPr>
        <w:spacing w:after="80" w:line="276" w:lineRule="auto"/>
      </w:pPr>
      <w:r>
        <w:rPr>
          <w:b/>
          <w:sz w:val="22"/>
        </w:rPr>
        <w:t xml:space="preserve">B. Mitigation Technique &amp; Justification: </w:t>
      </w:r>
      <w:r>
        <w:rPr>
          <w:sz w:val="22"/>
        </w:rPr>
        <w:t>Cryptographic Defenses and Justification:</w:t>
      </w:r>
    </w:p>
    <w:p>
      <w:pPr>
        <w:spacing w:after="80" w:line="276" w:lineRule="auto"/>
        <w:ind w:left="360"/>
      </w:pPr>
      <w:r>
        <w:rPr>
          <w:sz w:val="22"/>
        </w:rPr>
        <w:t>Deploy Cryptographic Nonces combined with Synchronized Timestamps and HMAC Sequence Counters.</w:t>
      </w:r>
    </w:p>
    <w:p>
      <w:pPr>
        <w:spacing w:after="80" w:line="276" w:lineRule="auto"/>
        <w:ind w:left="360"/>
      </w:pPr>
      <w:r>
        <w:rPr>
          <w:sz w:val="22"/>
        </w:rPr>
        <w:t>1. Cryptographic Nonce (Number Used Once): The server generates a unique single-use random token for each session or transaction. The client signs the payload concatenated with this nonce. The server maintains a cached bloom filter of used nonces; any request featuring a previously seen nonce is instantly rejected.</w:t>
      </w:r>
    </w:p>
    <w:p>
      <w:pPr>
        <w:spacing w:after="80" w:line="276" w:lineRule="auto"/>
        <w:ind w:left="360"/>
      </w:pPr>
      <w:r>
        <w:rPr>
          <w:sz w:val="22"/>
        </w:rPr>
        <w:t>2. Time-bound Windowing: Adding a UTC timestamp to the signed header ensures requests expire after a narrow window (e.g., 30 seconds), preventing delayed retransmissions.</w:t>
      </w:r>
    </w:p>
    <w:p>
      <w:pPr>
        <w:spacing w:after="80" w:line="276" w:lineRule="auto"/>
        <w:ind w:left="360"/>
      </w:pPr>
      <w:r>
        <w:rPr>
          <w:sz w:val="22"/>
        </w:rPr>
        <w:t>3. HMAC Sequence Numbers: In persistent API sessions, incremental sequence numbers tied to an HMAC-SHA256 signature enforce strict monotonic transaction ordering.</w:t>
      </w:r>
    </w:p>
    <w:p>
      <w:pPr>
        <w:spacing w:before="280" w:after="80"/>
      </w:pPr>
      <w:r>
        <w:rPr>
          <w:b/>
          <w:color w:val="800020"/>
          <w:sz w:val="23"/>
        </w:rPr>
        <w:t>4. Secure Communication over Public Wi-Fi</w:t>
      </w:r>
    </w:p>
    <w:p>
      <w:pPr>
        <w:spacing w:after="80" w:line="276" w:lineRule="auto"/>
      </w:pPr>
      <w:r>
        <w:rPr>
          <w:sz w:val="22"/>
        </w:rPr>
        <w:t>Scenario: A user accesses sensitive corporate information over an unencrypted public Wi-Fi network.</w:t>
      </w:r>
    </w:p>
    <w:p>
      <w:pPr>
        <w:spacing w:after="80" w:line="276" w:lineRule="auto"/>
      </w:pPr>
      <w:r>
        <w:rPr>
          <w:b/>
          <w:sz w:val="22"/>
        </w:rPr>
        <w:t xml:space="preserve">A. Threat Identification: </w:t>
      </w:r>
      <w:r>
        <w:rPr>
          <w:sz w:val="22"/>
        </w:rPr>
        <w:t>Security Risks of Unencrypted Public Wireless Networks:</w:t>
      </w:r>
    </w:p>
    <w:p>
      <w:pPr>
        <w:spacing w:after="80" w:line="276" w:lineRule="auto"/>
        <w:ind w:left="360"/>
      </w:pPr>
      <w:r>
        <w:rPr>
          <w:sz w:val="22"/>
        </w:rPr>
        <w:t>1. Passive Eavesdropping (Packet Sniffing): Adversaries running network analyzers (e.g., Wireshark) on the shared radio spectrum capture unencrypted HTTP session cookies, credentials, and payload data in transit.</w:t>
      </w:r>
    </w:p>
    <w:p>
      <w:pPr>
        <w:spacing w:after="80" w:line="276" w:lineRule="auto"/>
        <w:ind w:left="360"/>
      </w:pPr>
      <w:r>
        <w:rPr>
          <w:sz w:val="22"/>
        </w:rPr>
        <w:t>2. Active Man-in-the-Middle (MitM) &amp; Evil Twin APs: Attackers setup rogue Wi-Fi access points impersonating legitimate hotspots, enabling DNS spoofing, SSL stripping, and transparent payload injection.</w:t>
      </w:r>
    </w:p>
    <w:p>
      <w:pPr>
        <w:spacing w:after="80" w:line="276" w:lineRule="auto"/>
        <w:ind w:left="360"/>
      </w:pPr>
      <w:r>
        <w:rPr>
          <w:sz w:val="22"/>
        </w:rPr>
        <w:t>3. Session Hijacking: Stolen unencrypted session tokens enable attackers to impersonate legitimate authenticated users without needing their primary passwords.</w:t>
      </w:r>
    </w:p>
    <w:p>
      <w:pPr>
        <w:spacing w:after="80" w:line="276" w:lineRule="auto"/>
      </w:pPr>
      <w:r>
        <w:rPr>
          <w:b/>
          <w:sz w:val="22"/>
        </w:rPr>
        <w:t xml:space="preserve">B. Recommended Method &amp; Justification: </w:t>
      </w:r>
      <w:r>
        <w:rPr>
          <w:sz w:val="22"/>
        </w:rPr>
        <w:t>Recommended Defensive Architecture:</w:t>
      </w:r>
    </w:p>
    <w:p>
      <w:pPr>
        <w:spacing w:after="80" w:line="276" w:lineRule="auto"/>
        <w:ind w:left="360"/>
      </w:pPr>
      <w:r>
        <w:rPr>
          <w:sz w:val="22"/>
        </w:rPr>
        <w:t>Enforce Mandatory Encrypted Tunnels via IPsec / WireGuard VPN and TLS 1.3 End-to-End Encryption with HSTS.</w:t>
      </w:r>
    </w:p>
    <w:p>
      <w:pPr>
        <w:spacing w:after="80" w:line="276" w:lineRule="auto"/>
        <w:ind w:left="360"/>
      </w:pPr>
      <w:r>
        <w:rPr>
          <w:sz w:val="22"/>
        </w:rPr>
        <w:t>1. Virtual Private Network (VPN): Establishing an authenticated WireGuard or IPsec VPN tunnel encapsulates and encrypts all device network traffic using AES-256-GCM before it leaves the wireless interface. Even if an attacker controls the Wi-Fi router, they observe only indecipherable encrypted UDP packets.</w:t>
      </w:r>
    </w:p>
    <w:p>
      <w:pPr>
        <w:spacing w:after="80" w:line="276" w:lineRule="auto"/>
        <w:ind w:left="360"/>
      </w:pPr>
      <w:r>
        <w:rPr>
          <w:sz w:val="22"/>
        </w:rPr>
        <w:t>2. TLS 1.3 &amp; HTTP Strict Transport Security (HSTS): Enforcing HTTPS with HSTS prevents downgrade attacks (SSL stripping) and ensures end-to-end transport layer security.</w:t>
      </w:r>
    </w:p>
    <w:p>
      <w:pPr>
        <w:spacing w:before="280" w:after="80"/>
      </w:pPr>
      <w:r>
        <w:rPr>
          <w:b/>
          <w:color w:val="800020"/>
          <w:sz w:val="23"/>
        </w:rPr>
        <w:t>5. Data Integrity in Cloud Storage</w:t>
      </w:r>
    </w:p>
    <w:p>
      <w:pPr>
        <w:spacing w:after="80" w:line="276" w:lineRule="auto"/>
      </w:pPr>
      <w:r>
        <w:rPr>
          <w:sz w:val="22"/>
        </w:rPr>
        <w:t>Scenario: An organization stores critical data in a cloud server and needs guarantees that cloud data remains unaltered.</w:t>
      </w:r>
    </w:p>
    <w:p>
      <w:pPr>
        <w:spacing w:after="80" w:line="276" w:lineRule="auto"/>
      </w:pPr>
      <w:r>
        <w:rPr>
          <w:b/>
          <w:sz w:val="22"/>
        </w:rPr>
        <w:t xml:space="preserve">A. Hashing Mechanism: </w:t>
      </w:r>
      <w:r>
        <w:rPr>
          <w:sz w:val="22"/>
        </w:rPr>
        <w:t>Role of Cryptographic Hashing in Integrity Verification:</w:t>
      </w:r>
    </w:p>
    <w:p>
      <w:pPr>
        <w:spacing w:after="80" w:line="276" w:lineRule="auto"/>
        <w:ind w:left="360"/>
      </w:pPr>
      <w:r>
        <w:rPr>
          <w:sz w:val="22"/>
        </w:rPr>
        <w:t>Before uploading data to the cloud, the organization calculates a cryptographic hash (e.g., SHA-256) of each file and stores these root checksums locally in a secure on-premise database. Upon downloading data or during periodic auditing, the organization re-computes the SHA-256 hash of the retrieved cloud files. If the recalculated hash matches the stored reference hash, data integrity is mathematically proven. Any bit rot, silent corruption, or malicious modification causes hash mismatch.</w:t>
      </w:r>
    </w:p>
    <w:p>
      <w:pPr>
        <w:spacing w:after="80" w:line="276" w:lineRule="auto"/>
      </w:pPr>
      <w:r>
        <w:rPr>
          <w:b/>
          <w:sz w:val="22"/>
        </w:rPr>
        <w:t xml:space="preserve">B. Additional Trust Mechanism &amp; Justification: </w:t>
      </w:r>
      <w:r>
        <w:rPr>
          <w:sz w:val="22"/>
        </w:rPr>
        <w:t>Advanced Mechanism to Enhance Trust:</w:t>
      </w:r>
    </w:p>
    <w:p>
      <w:pPr>
        <w:spacing w:after="80" w:line="276" w:lineRule="auto"/>
        <w:ind w:left="360"/>
      </w:pPr>
      <w:r>
        <w:rPr>
          <w:sz w:val="22"/>
        </w:rPr>
        <w:t>Implement Merkle Trees (Hash Trees) combined with Digital Signatures or Immutable Ledger Auditing.</w:t>
      </w:r>
    </w:p>
    <w:p>
      <w:pPr>
        <w:spacing w:after="80" w:line="276" w:lineRule="auto"/>
        <w:ind w:left="360"/>
      </w:pPr>
      <w:r>
        <w:rPr>
          <w:sz w:val="22"/>
        </w:rPr>
        <w:t>1. Merkle Tree Verification: Organizes data blocks into a hierarchical binary tree where leaf nodes represent block hashes and parent nodes represent hashes of concatenated children. This allows verifiable zero-trust auditing of massive multi-terabyte cloud storage by verifying lightweight logarithmic Merkle inclusion proofs (O(log N)) without downloading the entire dataset.</w:t>
      </w:r>
    </w:p>
    <w:p>
      <w:pPr>
        <w:spacing w:after="80" w:line="276" w:lineRule="auto"/>
        <w:ind w:left="360"/>
      </w:pPr>
      <w:r>
        <w:rPr>
          <w:sz w:val="22"/>
        </w:rPr>
        <w:t>2. Signed HMAC / Immutable Audit Trail: Signing root hashes with a Trusted Platform Module (TPM) or storing root anchors on an append-only immutable ledger prevents cloud providers from tampering with historical integrity benchmarks.</w:t>
      </w:r>
    </w:p>
    <w:p>
      <w:pPr>
        <w:spacing w:after="200"/>
      </w:pPr>
    </w:p>
    <w:p>
      <w:pPr>
        <w:spacing w:before="280" w:after="80"/>
      </w:pPr>
      <w:r>
        <w:rPr>
          <w:b/>
          <w:color w:val="003366"/>
          <w:sz w:val="26"/>
        </w:rPr>
        <w:t>RUBRICS FOR SCENARIO-BASED ASSESSMENT</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shd w:fill="003366"/>
          </w:tcPr>
          <w:p>
            <w:pPr>
              <w:jc w:val="center"/>
            </w:pPr>
            <w:r>
              <w:rPr>
                <w:b/>
                <w:color w:val="FFFFFF"/>
                <w:sz w:val="19"/>
              </w:rPr>
              <w:t>Criteria</w:t>
            </w:r>
          </w:p>
        </w:tc>
        <w:tc>
          <w:tcPr>
            <w:tcW w:type="dxa" w:w="1987"/>
            <w:shd w:fill="003366"/>
          </w:tcPr>
          <w:p>
            <w:pPr>
              <w:jc w:val="center"/>
            </w:pPr>
            <w:r>
              <w:rPr>
                <w:b/>
                <w:color w:val="FFFFFF"/>
                <w:sz w:val="19"/>
              </w:rPr>
              <w:t>Weightage</w:t>
            </w:r>
          </w:p>
        </w:tc>
        <w:tc>
          <w:tcPr>
            <w:tcW w:type="dxa" w:w="1987"/>
            <w:shd w:fill="003366"/>
          </w:tcPr>
          <w:p>
            <w:pPr>
              <w:jc w:val="center"/>
            </w:pPr>
            <w:r>
              <w:rPr>
                <w:b/>
                <w:color w:val="FFFFFF"/>
                <w:sz w:val="19"/>
              </w:rPr>
              <w:t>Level 4 (Exemplary)</w:t>
            </w:r>
          </w:p>
        </w:tc>
        <w:tc>
          <w:tcPr>
            <w:tcW w:type="dxa" w:w="1987"/>
            <w:shd w:fill="003366"/>
          </w:tcPr>
          <w:p>
            <w:pPr>
              <w:jc w:val="center"/>
            </w:pPr>
            <w:r>
              <w:rPr>
                <w:b/>
                <w:color w:val="FFFFFF"/>
                <w:sz w:val="19"/>
              </w:rPr>
              <w:t>Level 3 (Proficient)</w:t>
            </w:r>
          </w:p>
        </w:tc>
        <w:tc>
          <w:tcPr>
            <w:tcW w:type="dxa" w:w="1987"/>
            <w:shd w:fill="003366"/>
          </w:tcPr>
          <w:p>
            <w:pPr>
              <w:jc w:val="center"/>
            </w:pPr>
            <w:r>
              <w:rPr>
                <w:b/>
                <w:color w:val="FFFFFF"/>
                <w:sz w:val="19"/>
              </w:rPr>
              <w:t>Level 1-2 (Developing)</w:t>
            </w:r>
          </w:p>
        </w:tc>
      </w:tr>
      <w:tr>
        <w:tc>
          <w:tcPr>
            <w:tcW w:type="dxa" w:w="1987"/>
            <w:shd w:fill="F9FAFB"/>
          </w:tcPr>
          <w:p>
            <w:pPr>
              <w:spacing w:before="60" w:after="60"/>
            </w:pPr>
            <w:r>
              <w:rPr>
                <w:b/>
                <w:sz w:val="18"/>
              </w:rPr>
              <w:t>Understanding of Scenario</w:t>
            </w:r>
          </w:p>
        </w:tc>
        <w:tc>
          <w:tcPr>
            <w:tcW w:type="dxa" w:w="1987"/>
            <w:shd w:fill="F9FAFB"/>
          </w:tcPr>
          <w:p>
            <w:pPr>
              <w:spacing w:before="60" w:after="60"/>
            </w:pPr>
            <w:r>
              <w:rPr>
                <w:b/>
                <w:sz w:val="18"/>
              </w:rPr>
              <w:t>20%</w:t>
            </w:r>
          </w:p>
        </w:tc>
        <w:tc>
          <w:tcPr>
            <w:tcW w:type="dxa" w:w="1987"/>
            <w:shd w:fill="F9FAFB"/>
          </w:tcPr>
          <w:p>
            <w:pPr>
              <w:spacing w:before="60" w:after="60"/>
            </w:pPr>
            <w:r>
              <w:rPr>
                <w:sz w:val="18"/>
              </w:rPr>
              <w:t>Demonstrates clear and complete understanding of scenario and context</w:t>
            </w:r>
          </w:p>
        </w:tc>
        <w:tc>
          <w:tcPr>
            <w:tcW w:type="dxa" w:w="1987"/>
            <w:shd w:fill="F9FAFB"/>
          </w:tcPr>
          <w:p>
            <w:pPr>
              <w:spacing w:before="60" w:after="60"/>
            </w:pPr>
            <w:r>
              <w:rPr>
                <w:sz w:val="18"/>
              </w:rPr>
              <w:t>Shows good understanding with minor gaps</w:t>
            </w:r>
          </w:p>
        </w:tc>
        <w:tc>
          <w:tcPr>
            <w:tcW w:type="dxa" w:w="1987"/>
            <w:shd w:fill="F9FAFB"/>
          </w:tcPr>
          <w:p>
            <w:pPr>
              <w:spacing w:before="60" w:after="60"/>
            </w:pPr>
            <w:r>
              <w:rPr>
                <w:sz w:val="18"/>
              </w:rPr>
              <w:t>Partial/poor understanding</w:t>
            </w:r>
          </w:p>
        </w:tc>
      </w:tr>
      <w:tr>
        <w:tc>
          <w:tcPr>
            <w:tcW w:type="dxa" w:w="1987"/>
            <w:shd w:fill="FFFFFF"/>
          </w:tcPr>
          <w:p>
            <w:pPr>
              <w:spacing w:before="60" w:after="60"/>
            </w:pPr>
            <w:r>
              <w:rPr>
                <w:b/>
                <w:sz w:val="18"/>
              </w:rPr>
              <w:t>Identification of Key Issues</w:t>
            </w:r>
          </w:p>
        </w:tc>
        <w:tc>
          <w:tcPr>
            <w:tcW w:type="dxa" w:w="1987"/>
            <w:shd w:fill="FFFFFF"/>
          </w:tcPr>
          <w:p>
            <w:pPr>
              <w:spacing w:before="60" w:after="60"/>
            </w:pPr>
            <w:r>
              <w:rPr>
                <w:b/>
                <w:sz w:val="18"/>
              </w:rPr>
              <w:t>20%</w:t>
            </w:r>
          </w:p>
        </w:tc>
        <w:tc>
          <w:tcPr>
            <w:tcW w:type="dxa" w:w="1987"/>
            <w:shd w:fill="FFFFFF"/>
          </w:tcPr>
          <w:p>
            <w:pPr>
              <w:spacing w:before="60" w:after="60"/>
            </w:pPr>
            <w:r>
              <w:rPr>
                <w:sz w:val="18"/>
              </w:rPr>
              <w:t>Accurately identifies all relevant issues and security factors involved</w:t>
            </w:r>
          </w:p>
        </w:tc>
        <w:tc>
          <w:tcPr>
            <w:tcW w:type="dxa" w:w="1987"/>
            <w:shd w:fill="FFFFFF"/>
          </w:tcPr>
          <w:p>
            <w:pPr>
              <w:spacing w:before="60" w:after="60"/>
            </w:pPr>
            <w:r>
              <w:rPr>
                <w:sz w:val="18"/>
              </w:rPr>
              <w:t>Identifies most key issues with minor omissions</w:t>
            </w:r>
          </w:p>
        </w:tc>
        <w:tc>
          <w:tcPr>
            <w:tcW w:type="dxa" w:w="1987"/>
            <w:shd w:fill="FFFFFF"/>
          </w:tcPr>
          <w:p>
            <w:pPr>
              <w:spacing w:before="60" w:after="60"/>
            </w:pPr>
            <w:r>
              <w:rPr>
                <w:sz w:val="18"/>
              </w:rPr>
              <w:t>Identifies limited issues</w:t>
            </w:r>
          </w:p>
        </w:tc>
      </w:tr>
      <w:tr>
        <w:tc>
          <w:tcPr>
            <w:tcW w:type="dxa" w:w="1987"/>
            <w:shd w:fill="F9FAFB"/>
          </w:tcPr>
          <w:p>
            <w:pPr>
              <w:spacing w:before="60" w:after="60"/>
            </w:pPr>
            <w:r>
              <w:rPr>
                <w:b/>
                <w:sz w:val="18"/>
              </w:rPr>
              <w:t>Application of Concepts</w:t>
            </w:r>
          </w:p>
        </w:tc>
        <w:tc>
          <w:tcPr>
            <w:tcW w:type="dxa" w:w="1987"/>
            <w:shd w:fill="F9FAFB"/>
          </w:tcPr>
          <w:p>
            <w:pPr>
              <w:spacing w:before="60" w:after="60"/>
            </w:pPr>
            <w:r>
              <w:rPr>
                <w:b/>
                <w:sz w:val="18"/>
              </w:rPr>
              <w:t>25%</w:t>
            </w:r>
          </w:p>
        </w:tc>
        <w:tc>
          <w:tcPr>
            <w:tcW w:type="dxa" w:w="1987"/>
            <w:shd w:fill="F9FAFB"/>
          </w:tcPr>
          <w:p>
            <w:pPr>
              <w:spacing w:before="60" w:after="60"/>
            </w:pPr>
            <w:r>
              <w:rPr>
                <w:sz w:val="18"/>
              </w:rPr>
              <w:t>Applies appropriate cryptographic concepts effectively to scenario</w:t>
            </w:r>
          </w:p>
        </w:tc>
        <w:tc>
          <w:tcPr>
            <w:tcW w:type="dxa" w:w="1987"/>
            <w:shd w:fill="F9FAFB"/>
          </w:tcPr>
          <w:p>
            <w:pPr>
              <w:spacing w:before="60" w:after="60"/>
            </w:pPr>
            <w:r>
              <w:rPr>
                <w:sz w:val="18"/>
              </w:rPr>
              <w:t>Applies concepts with minor errors</w:t>
            </w:r>
          </w:p>
        </w:tc>
        <w:tc>
          <w:tcPr>
            <w:tcW w:type="dxa" w:w="1987"/>
            <w:shd w:fill="F9FAFB"/>
          </w:tcPr>
          <w:p>
            <w:pPr>
              <w:spacing w:before="60" w:after="60"/>
            </w:pPr>
            <w:r>
              <w:rPr>
                <w:sz w:val="18"/>
              </w:rPr>
              <w:t>Limited/flawed application</w:t>
            </w:r>
          </w:p>
        </w:tc>
      </w:tr>
      <w:tr>
        <w:tc>
          <w:tcPr>
            <w:tcW w:type="dxa" w:w="1987"/>
            <w:shd w:fill="FFFFFF"/>
          </w:tcPr>
          <w:p>
            <w:pPr>
              <w:spacing w:before="60" w:after="60"/>
            </w:pPr>
            <w:r>
              <w:rPr>
                <w:b/>
                <w:sz w:val="18"/>
              </w:rPr>
              <w:t>Decision Making</w:t>
            </w:r>
          </w:p>
        </w:tc>
        <w:tc>
          <w:tcPr>
            <w:tcW w:type="dxa" w:w="1987"/>
            <w:shd w:fill="FFFFFF"/>
          </w:tcPr>
          <w:p>
            <w:pPr>
              <w:spacing w:before="60" w:after="60"/>
            </w:pPr>
            <w:r>
              <w:rPr>
                <w:b/>
                <w:sz w:val="18"/>
              </w:rPr>
              <w:t>20%</w:t>
            </w:r>
          </w:p>
        </w:tc>
        <w:tc>
          <w:tcPr>
            <w:tcW w:type="dxa" w:w="1987"/>
            <w:shd w:fill="FFFFFF"/>
          </w:tcPr>
          <w:p>
            <w:pPr>
              <w:spacing w:before="60" w:after="60"/>
            </w:pPr>
            <w:r>
              <w:rPr>
                <w:sz w:val="18"/>
              </w:rPr>
              <w:t>Makes well-reasoned, logical decisions with strong rationale</w:t>
            </w:r>
          </w:p>
        </w:tc>
        <w:tc>
          <w:tcPr>
            <w:tcW w:type="dxa" w:w="1987"/>
            <w:shd w:fill="FFFFFF"/>
          </w:tcPr>
          <w:p>
            <w:pPr>
              <w:spacing w:before="60" w:after="60"/>
            </w:pPr>
            <w:r>
              <w:rPr>
                <w:sz w:val="18"/>
              </w:rPr>
              <w:t>Makes reasonable decisions with some justification</w:t>
            </w:r>
          </w:p>
        </w:tc>
        <w:tc>
          <w:tcPr>
            <w:tcW w:type="dxa" w:w="1987"/>
            <w:shd w:fill="FFFFFF"/>
          </w:tcPr>
          <w:p>
            <w:pPr>
              <w:spacing w:before="60" w:after="60"/>
            </w:pPr>
            <w:r>
              <w:rPr>
                <w:sz w:val="18"/>
              </w:rPr>
              <w:t>Weak decisions/poor justification</w:t>
            </w:r>
          </w:p>
        </w:tc>
      </w:tr>
      <w:tr>
        <w:tc>
          <w:tcPr>
            <w:tcW w:type="dxa" w:w="1987"/>
            <w:shd w:fill="F9FAFB"/>
          </w:tcPr>
          <w:p>
            <w:pPr>
              <w:spacing w:before="60" w:after="60"/>
            </w:pPr>
            <w:r>
              <w:rPr>
                <w:b/>
                <w:sz w:val="18"/>
              </w:rPr>
              <w:t>Clarity of Response</w:t>
            </w:r>
          </w:p>
        </w:tc>
        <w:tc>
          <w:tcPr>
            <w:tcW w:type="dxa" w:w="1987"/>
            <w:shd w:fill="F9FAFB"/>
          </w:tcPr>
          <w:p>
            <w:pPr>
              <w:spacing w:before="60" w:after="60"/>
            </w:pPr>
            <w:r>
              <w:rPr>
                <w:b/>
                <w:sz w:val="18"/>
              </w:rPr>
              <w:t>15%</w:t>
            </w:r>
          </w:p>
        </w:tc>
        <w:tc>
          <w:tcPr>
            <w:tcW w:type="dxa" w:w="1987"/>
            <w:shd w:fill="F9FAFB"/>
          </w:tcPr>
          <w:p>
            <w:pPr>
              <w:spacing w:before="60" w:after="60"/>
            </w:pPr>
            <w:r>
              <w:rPr>
                <w:sz w:val="18"/>
              </w:rPr>
              <w:t>Response is clear, structured, and logically presented</w:t>
            </w:r>
          </w:p>
        </w:tc>
        <w:tc>
          <w:tcPr>
            <w:tcW w:type="dxa" w:w="1987"/>
            <w:shd w:fill="F9FAFB"/>
          </w:tcPr>
          <w:p>
            <w:pPr>
              <w:spacing w:before="60" w:after="60"/>
            </w:pPr>
            <w:r>
              <w:rPr>
                <w:sz w:val="18"/>
              </w:rPr>
              <w:t>Generally clear with minor formatting issues</w:t>
            </w:r>
          </w:p>
        </w:tc>
        <w:tc>
          <w:tcPr>
            <w:tcW w:type="dxa" w:w="1987"/>
            <w:shd w:fill="F9FAFB"/>
          </w:tcPr>
          <w:p>
            <w:pPr>
              <w:spacing w:before="60" w:after="60"/>
            </w:pPr>
            <w:r>
              <w:rPr>
                <w:sz w:val="18"/>
              </w:rPr>
              <w:t>Disorganized or unclear</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