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1376" w14:textId="77777777" w:rsidR="00AC1542" w:rsidRDefault="00CF740F">
      <w:pPr>
        <w:jc w:val="center"/>
        <w:rPr>
          <w:b/>
          <w:bCs/>
          <w:sz w:val="34"/>
          <w:szCs w:val="34"/>
        </w:rPr>
      </w:pPr>
      <w:r>
        <w:rPr>
          <w:b/>
          <w:bCs/>
          <w:sz w:val="34"/>
          <w:szCs w:val="34"/>
        </w:rPr>
        <w:t xml:space="preserve"> SIMATS ENGINEERING</w:t>
      </w:r>
    </w:p>
    <w:p w14:paraId="73EA3AE1" w14:textId="77777777" w:rsidR="00AC1542" w:rsidRDefault="00CF740F">
      <w:pPr>
        <w:jc w:val="center"/>
        <w:rPr>
          <w:b/>
          <w:bCs/>
          <w:sz w:val="28"/>
          <w:szCs w:val="28"/>
        </w:rPr>
      </w:pPr>
      <w:r>
        <w:rPr>
          <w:b/>
          <w:bCs/>
          <w:sz w:val="28"/>
          <w:szCs w:val="28"/>
        </w:rPr>
        <w:t xml:space="preserve">ASSESSMENT TOOL 3 </w:t>
      </w:r>
    </w:p>
    <w:p w14:paraId="7BE1BF99" w14:textId="77777777" w:rsidR="00AC1542" w:rsidRDefault="00AC1542">
      <w:pPr>
        <w:jc w:val="center"/>
        <w:rPr>
          <w:b/>
          <w:bCs/>
          <w:sz w:val="34"/>
          <w:szCs w:val="34"/>
        </w:rPr>
      </w:pPr>
    </w:p>
    <w:p w14:paraId="1E804626" w14:textId="77777777" w:rsidR="00AC1542" w:rsidRDefault="00CF740F">
      <w:pPr>
        <w:rPr>
          <w:b/>
          <w:bCs/>
          <w:sz w:val="24"/>
          <w:szCs w:val="24"/>
        </w:rPr>
      </w:pPr>
      <w:r>
        <w:rPr>
          <w:b/>
          <w:bCs/>
          <w:sz w:val="24"/>
          <w:szCs w:val="24"/>
        </w:rPr>
        <w:t>COURSE CODE:</w:t>
      </w:r>
      <w:r>
        <w:rPr>
          <w:b/>
          <w:bCs/>
          <w:sz w:val="24"/>
          <w:szCs w:val="24"/>
        </w:rPr>
        <w:tab/>
        <w:t xml:space="preserve">CSA51   COURSE NAME: Cryptography and Network Security </w:t>
      </w:r>
      <w:r>
        <w:rPr>
          <w:b/>
          <w:bCs/>
          <w:sz w:val="24"/>
          <w:szCs w:val="24"/>
        </w:rPr>
        <w:tab/>
      </w:r>
      <w:r>
        <w:rPr>
          <w:b/>
          <w:bCs/>
          <w:sz w:val="24"/>
          <w:szCs w:val="24"/>
        </w:rPr>
        <w:tab/>
      </w:r>
    </w:p>
    <w:p w14:paraId="3A0FD322" w14:textId="77777777" w:rsidR="00AC1542" w:rsidRDefault="00CF740F">
      <w:pPr>
        <w:rPr>
          <w:b/>
          <w:bCs/>
          <w:sz w:val="24"/>
          <w:szCs w:val="24"/>
        </w:rPr>
      </w:pPr>
      <w:r>
        <w:rPr>
          <w:b/>
          <w:bCs/>
          <w:sz w:val="24"/>
          <w:szCs w:val="24"/>
        </w:rPr>
        <w:tab/>
      </w:r>
    </w:p>
    <w:p w14:paraId="0C238317" w14:textId="77777777" w:rsidR="00AC1542" w:rsidRDefault="00AC1542">
      <w:pPr>
        <w:rPr>
          <w:b/>
          <w:bCs/>
          <w:sz w:val="24"/>
          <w:szCs w:val="24"/>
        </w:rPr>
      </w:pPr>
    </w:p>
    <w:p w14:paraId="4968C4A0" w14:textId="77777777" w:rsidR="00AC1542" w:rsidRDefault="00000000">
      <w:pPr>
        <w:rPr>
          <w:b/>
          <w:bCs/>
          <w:sz w:val="24"/>
          <w:szCs w:val="24"/>
        </w:rPr>
      </w:pPr>
      <w:r>
        <w:pict w14:anchorId="6057B969">
          <v:rect id="_x0000_i1025" style="width:0;height:1.5pt" o:hralign="center" o:hrstd="t" o:hr="t" fillcolor="#a0a0a0" stroked="f"/>
        </w:pict>
      </w:r>
    </w:p>
    <w:p w14:paraId="534BFB9A" w14:textId="77777777" w:rsidR="00AC1542" w:rsidRDefault="00AC1542">
      <w:pPr>
        <w:rPr>
          <w:b/>
          <w:bCs/>
          <w:sz w:val="24"/>
          <w:szCs w:val="24"/>
        </w:rPr>
      </w:pPr>
    </w:p>
    <w:p w14:paraId="250015BE" w14:textId="77777777" w:rsidR="00AC1542" w:rsidRDefault="00CF740F">
      <w:pPr>
        <w:rPr>
          <w:b/>
          <w:bCs/>
          <w:sz w:val="24"/>
          <w:szCs w:val="24"/>
        </w:rPr>
      </w:pPr>
      <w:r>
        <w:rPr>
          <w:b/>
          <w:bCs/>
          <w:sz w:val="24"/>
          <w:szCs w:val="24"/>
        </w:rPr>
        <w:t>COURSE OUTCOME COVERED</w:t>
      </w:r>
    </w:p>
    <w:p w14:paraId="0F4EE8DA" w14:textId="77777777" w:rsidR="00AC1542" w:rsidRDefault="00AC1542">
      <w:pPr>
        <w:rPr>
          <w:b/>
          <w:bCs/>
          <w:sz w:val="24"/>
          <w:szCs w:val="24"/>
        </w:rPr>
      </w:pPr>
    </w:p>
    <w:p w14:paraId="6147A9F7" w14:textId="77777777" w:rsidR="00AC1542" w:rsidRDefault="00CF740F">
      <w:pPr>
        <w:rPr>
          <w:sz w:val="24"/>
          <w:szCs w:val="24"/>
        </w:rPr>
      </w:pPr>
      <w:r>
        <w:rPr>
          <w:b/>
          <w:bCs/>
          <w:sz w:val="24"/>
          <w:szCs w:val="24"/>
        </w:rPr>
        <w:t xml:space="preserve">CO4: </w:t>
      </w:r>
      <w:r>
        <w:rPr>
          <w:i/>
          <w:iCs/>
          <w:sz w:val="24"/>
          <w:szCs w:val="24"/>
        </w:rPr>
        <w:t xml:space="preserve">Implement best security practices for IP, email, and web service using PGP, S/MIME for enhancing email Security.CO </w:t>
      </w:r>
      <w:r>
        <w:rPr>
          <w:sz w:val="24"/>
          <w:szCs w:val="24"/>
        </w:rPr>
        <w:t>(BL3, BL6)</w:t>
      </w:r>
    </w:p>
    <w:p w14:paraId="15506078" w14:textId="77777777" w:rsidR="00AC1542" w:rsidRDefault="00AC1542">
      <w:pPr>
        <w:rPr>
          <w:sz w:val="24"/>
          <w:szCs w:val="24"/>
        </w:rPr>
      </w:pPr>
    </w:p>
    <w:p w14:paraId="4791991C" w14:textId="77777777" w:rsidR="00AC1542" w:rsidRDefault="00CF740F">
      <w:pPr>
        <w:rPr>
          <w:i/>
          <w:iCs/>
          <w:sz w:val="24"/>
          <w:szCs w:val="24"/>
        </w:rPr>
      </w:pPr>
      <w:r>
        <w:rPr>
          <w:i/>
          <w:iCs/>
          <w:sz w:val="24"/>
          <w:szCs w:val="24"/>
        </w:rPr>
        <w:t>Assessment Tool Weightage: 10%</w:t>
      </w:r>
    </w:p>
    <w:p w14:paraId="37ABA5E2" w14:textId="77777777" w:rsidR="00AC1542" w:rsidRDefault="00AC1542">
      <w:pPr>
        <w:rPr>
          <w:sz w:val="24"/>
          <w:szCs w:val="24"/>
        </w:rPr>
      </w:pPr>
    </w:p>
    <w:p w14:paraId="4F07995B" w14:textId="77777777" w:rsidR="00AC1542" w:rsidRDefault="00000000">
      <w:pPr>
        <w:rPr>
          <w:sz w:val="24"/>
          <w:szCs w:val="24"/>
        </w:rPr>
      </w:pPr>
      <w:r>
        <w:pict w14:anchorId="605A23CD">
          <v:rect id="_x0000_i1026" style="width:0;height:1.5pt" o:hralign="center" o:hrstd="t" o:hr="t" fillcolor="#a0a0a0" stroked="f"/>
        </w:pict>
      </w:r>
    </w:p>
    <w:p w14:paraId="7193121F" w14:textId="77777777" w:rsidR="00AC1542" w:rsidRDefault="00AC1542">
      <w:pPr>
        <w:rPr>
          <w:sz w:val="24"/>
          <w:szCs w:val="24"/>
        </w:rPr>
      </w:pPr>
    </w:p>
    <w:p w14:paraId="322B15D7" w14:textId="77777777" w:rsidR="00AC1542" w:rsidRDefault="00CF740F">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 25</w:t>
      </w:r>
    </w:p>
    <w:p w14:paraId="39F1A635" w14:textId="77777777" w:rsidR="00AC1542" w:rsidRDefault="00AC1542">
      <w:pPr>
        <w:rPr>
          <w:b/>
          <w:bCs/>
          <w:sz w:val="24"/>
          <w:szCs w:val="24"/>
        </w:rPr>
      </w:pPr>
    </w:p>
    <w:p w14:paraId="06821593" w14:textId="77777777" w:rsidR="00AC1542" w:rsidRDefault="00CF740F">
      <w:pPr>
        <w:jc w:val="center"/>
        <w:rPr>
          <w:b/>
          <w:bCs/>
          <w:sz w:val="24"/>
          <w:szCs w:val="24"/>
        </w:rPr>
      </w:pPr>
      <w:r>
        <w:rPr>
          <w:b/>
          <w:bCs/>
          <w:sz w:val="24"/>
          <w:szCs w:val="24"/>
        </w:rPr>
        <w:t>Annexure A</w:t>
      </w:r>
    </w:p>
    <w:p w14:paraId="47826578" w14:textId="77777777" w:rsidR="00AC1542" w:rsidRDefault="00CF740F">
      <w:pPr>
        <w:jc w:val="center"/>
        <w:rPr>
          <w:b/>
          <w:bCs/>
          <w:sz w:val="24"/>
          <w:szCs w:val="24"/>
        </w:rPr>
      </w:pPr>
      <w:r>
        <w:rPr>
          <w:b/>
          <w:bCs/>
          <w:i/>
          <w:iCs/>
          <w:sz w:val="24"/>
          <w:szCs w:val="24"/>
        </w:rPr>
        <w:t>Comparative Analysis</w:t>
      </w:r>
    </w:p>
    <w:p w14:paraId="707B87DB" w14:textId="77777777" w:rsidR="00AC1542" w:rsidRDefault="00AC1542">
      <w:pPr>
        <w:rPr>
          <w:sz w:val="24"/>
          <w:szCs w:val="24"/>
        </w:rPr>
      </w:pPr>
    </w:p>
    <w:p w14:paraId="4E17BF8A" w14:textId="77777777" w:rsidR="00AC1542" w:rsidRDefault="00AC1542">
      <w:pPr>
        <w:rPr>
          <w:b/>
          <w:bCs/>
          <w:sz w:val="24"/>
          <w:szCs w:val="24"/>
        </w:rPr>
      </w:pPr>
    </w:p>
    <w:p w14:paraId="001BE907" w14:textId="77777777" w:rsidR="00AC1542" w:rsidRDefault="00000000">
      <w:pPr>
        <w:rPr>
          <w:b/>
          <w:bCs/>
          <w:sz w:val="24"/>
          <w:szCs w:val="24"/>
        </w:rPr>
      </w:pPr>
      <w:r>
        <w:pict w14:anchorId="5620CB9B">
          <v:rect id="_x0000_i1027" style="width:0;height:1.5pt" o:hralign="center" o:hrstd="t" o:hr="t" fillcolor="#a0a0a0" stroked="f"/>
        </w:pict>
      </w:r>
    </w:p>
    <w:p w14:paraId="49C7677E" w14:textId="77777777" w:rsidR="00AC1542" w:rsidRDefault="00AC1542">
      <w:pPr>
        <w:rPr>
          <w:b/>
          <w:bCs/>
          <w:sz w:val="24"/>
          <w:szCs w:val="24"/>
        </w:rPr>
      </w:pPr>
    </w:p>
    <w:p w14:paraId="01DA1E3A" w14:textId="77777777" w:rsidR="00AC1542" w:rsidRDefault="00AC1542">
      <w:pPr>
        <w:rPr>
          <w:b/>
          <w:bCs/>
          <w:i/>
          <w:iCs/>
          <w:sz w:val="24"/>
          <w:szCs w:val="24"/>
        </w:rPr>
      </w:pPr>
    </w:p>
    <w:p w14:paraId="27C64394" w14:textId="77777777" w:rsidR="00AC1542" w:rsidRDefault="00CF740F">
      <w:pPr>
        <w:rPr>
          <w:b/>
          <w:bCs/>
          <w:i/>
          <w:iCs/>
          <w:sz w:val="24"/>
          <w:szCs w:val="24"/>
        </w:rPr>
      </w:pPr>
      <w:r>
        <w:rPr>
          <w:b/>
          <w:bCs/>
          <w:i/>
          <w:iCs/>
          <w:sz w:val="24"/>
          <w:szCs w:val="24"/>
        </w:rPr>
        <w:t>Code of Conduct:</w:t>
      </w:r>
    </w:p>
    <w:p w14:paraId="7C1B5A8F" w14:textId="77777777" w:rsidR="00AC1542" w:rsidRDefault="00AC1542">
      <w:pPr>
        <w:rPr>
          <w:i/>
          <w:iCs/>
          <w:sz w:val="24"/>
          <w:szCs w:val="24"/>
        </w:rPr>
      </w:pPr>
    </w:p>
    <w:p w14:paraId="406E0FF8" w14:textId="5502F190" w:rsidR="00AC1542" w:rsidRDefault="00CF740F">
      <w:pPr>
        <w:jc w:val="both"/>
        <w:rPr>
          <w:i/>
          <w:iCs/>
          <w:sz w:val="24"/>
          <w:szCs w:val="24"/>
        </w:rPr>
      </w:pPr>
      <w:r>
        <w:rPr>
          <w:i/>
          <w:iCs/>
          <w:sz w:val="24"/>
          <w:szCs w:val="24"/>
        </w:rPr>
        <w:t xml:space="preserve">I </w:t>
      </w:r>
      <w:r w:rsidR="00B569B7" w:rsidRPr="00B569B7">
        <w:rPr>
          <w:b/>
          <w:bCs/>
          <w:i/>
          <w:iCs/>
          <w:sz w:val="24"/>
          <w:szCs w:val="24"/>
          <w:u w:val="single"/>
        </w:rPr>
        <w:t>AYUSH MOHAPATRA 192411263</w:t>
      </w:r>
      <w:r>
        <w:rPr>
          <w:i/>
          <w:iCs/>
          <w:sz w:val="24"/>
          <w:szCs w:val="24"/>
        </w:rPr>
        <w:t xml:space="preserve"> (Name / Reg No) certify that this submission is my original work and that I have adhered to the guidelines specified for this assessment.</w:t>
      </w:r>
    </w:p>
    <w:p w14:paraId="596765D9" w14:textId="77777777" w:rsidR="00AC1542" w:rsidRDefault="00CF740F">
      <w:pPr>
        <w:jc w:val="both"/>
        <w:rPr>
          <w:i/>
          <w:iCs/>
          <w:sz w:val="24"/>
          <w:szCs w:val="24"/>
        </w:rPr>
      </w:pPr>
      <w:r>
        <w:rPr>
          <w:i/>
          <w:iCs/>
          <w:sz w:val="24"/>
          <w:szCs w:val="24"/>
        </w:rPr>
        <w:t>I understand that any violation of academic integrity rules will result in disciplinary action.</w:t>
      </w:r>
    </w:p>
    <w:p w14:paraId="6EBB1DFB" w14:textId="77777777" w:rsidR="00AC1542" w:rsidRDefault="00AC1542">
      <w:pPr>
        <w:jc w:val="both"/>
        <w:rPr>
          <w:i/>
          <w:iCs/>
          <w:sz w:val="24"/>
          <w:szCs w:val="24"/>
        </w:rPr>
      </w:pPr>
    </w:p>
    <w:p w14:paraId="1B7A1275" w14:textId="77777777" w:rsidR="00AC1542" w:rsidRDefault="00AC1542">
      <w:pPr>
        <w:jc w:val="both"/>
        <w:rPr>
          <w:i/>
          <w:iCs/>
          <w:sz w:val="24"/>
          <w:szCs w:val="24"/>
        </w:rPr>
      </w:pPr>
    </w:p>
    <w:p w14:paraId="3522D81D" w14:textId="77777777" w:rsidR="00AC1542" w:rsidRDefault="00AC1542">
      <w:pPr>
        <w:rPr>
          <w:i/>
          <w:iCs/>
          <w:sz w:val="24"/>
          <w:szCs w:val="24"/>
        </w:rPr>
      </w:pPr>
    </w:p>
    <w:p w14:paraId="14C9A090" w14:textId="77777777" w:rsidR="00AC1542" w:rsidRDefault="00CF740F">
      <w:pPr>
        <w:rPr>
          <w:b/>
          <w:bCs/>
          <w:i/>
          <w:iCs/>
          <w:sz w:val="24"/>
          <w:szCs w:val="24"/>
        </w:rPr>
      </w:pPr>
      <w:r>
        <w:rPr>
          <w:b/>
          <w:bCs/>
          <w:i/>
          <w:iCs/>
          <w:sz w:val="24"/>
          <w:szCs w:val="24"/>
        </w:rPr>
        <w:t>Signature of the student:</w:t>
      </w:r>
    </w:p>
    <w:p w14:paraId="1621677E" w14:textId="77777777" w:rsidR="00AC1542" w:rsidRDefault="00AC1542">
      <w:pPr>
        <w:rPr>
          <w:sz w:val="24"/>
          <w:szCs w:val="24"/>
        </w:rPr>
      </w:pPr>
    </w:p>
    <w:p w14:paraId="1A8C0293" w14:textId="77777777" w:rsidR="00AC1542" w:rsidRDefault="00AC1542">
      <w:pPr>
        <w:rPr>
          <w:i/>
          <w:iCs/>
          <w:sz w:val="24"/>
          <w:szCs w:val="24"/>
        </w:rPr>
      </w:pPr>
    </w:p>
    <w:p w14:paraId="084B84EB" w14:textId="77777777" w:rsidR="00AC1542" w:rsidRDefault="00AC1542">
      <w:pPr>
        <w:rPr>
          <w:i/>
          <w:iCs/>
          <w:sz w:val="24"/>
          <w:szCs w:val="24"/>
        </w:rPr>
      </w:pPr>
    </w:p>
    <w:p w14:paraId="5436D1BC" w14:textId="77777777" w:rsidR="00AC1542" w:rsidRDefault="00AC1542">
      <w:pPr>
        <w:rPr>
          <w:i/>
          <w:iCs/>
          <w:sz w:val="24"/>
          <w:szCs w:val="24"/>
        </w:rPr>
      </w:pPr>
    </w:p>
    <w:p w14:paraId="5618F323" w14:textId="77777777" w:rsidR="00AC1542" w:rsidRDefault="00AC1542">
      <w:pPr>
        <w:rPr>
          <w:i/>
          <w:iCs/>
          <w:sz w:val="24"/>
          <w:szCs w:val="24"/>
        </w:rPr>
      </w:pPr>
    </w:p>
    <w:p w14:paraId="16345764" w14:textId="77777777" w:rsidR="00AC1542" w:rsidRDefault="00AC1542">
      <w:pPr>
        <w:rPr>
          <w:i/>
          <w:iCs/>
          <w:sz w:val="24"/>
          <w:szCs w:val="24"/>
        </w:rPr>
      </w:pPr>
    </w:p>
    <w:p w14:paraId="71094A5A" w14:textId="77777777" w:rsidR="00AC1542" w:rsidRDefault="00AC1542">
      <w:pPr>
        <w:rPr>
          <w:i/>
          <w:iCs/>
          <w:sz w:val="24"/>
          <w:szCs w:val="24"/>
        </w:rPr>
      </w:pPr>
    </w:p>
    <w:p w14:paraId="0C76534A" w14:textId="77777777" w:rsidR="00AC1542" w:rsidRDefault="00AC1542">
      <w:pPr>
        <w:rPr>
          <w:i/>
          <w:iCs/>
          <w:sz w:val="24"/>
          <w:szCs w:val="24"/>
        </w:rPr>
      </w:pPr>
    </w:p>
    <w:p w14:paraId="3265E346" w14:textId="77777777" w:rsidR="00AC1542" w:rsidRDefault="00CF740F">
      <w:pPr>
        <w:jc w:val="center"/>
        <w:rPr>
          <w:b/>
          <w:bCs/>
          <w:i/>
          <w:iCs/>
          <w:sz w:val="24"/>
          <w:szCs w:val="24"/>
        </w:rPr>
      </w:pPr>
      <w:r>
        <w:rPr>
          <w:b/>
          <w:bCs/>
          <w:i/>
          <w:iCs/>
          <w:sz w:val="24"/>
          <w:szCs w:val="24"/>
        </w:rPr>
        <w:t>Annexure A</w:t>
      </w:r>
    </w:p>
    <w:p w14:paraId="09CCC069" w14:textId="77777777" w:rsidR="00AC1542" w:rsidRDefault="00CF740F">
      <w:pPr>
        <w:jc w:val="center"/>
        <w:rPr>
          <w:i/>
          <w:iCs/>
          <w:sz w:val="24"/>
          <w:szCs w:val="24"/>
        </w:rPr>
      </w:pPr>
      <w:r>
        <w:rPr>
          <w:b/>
          <w:bCs/>
          <w:i/>
          <w:iCs/>
          <w:sz w:val="24"/>
          <w:szCs w:val="24"/>
        </w:rPr>
        <w:t>Comparative Analysis</w:t>
      </w:r>
    </w:p>
    <w:p w14:paraId="0EFE36AB" w14:textId="77777777" w:rsidR="00AC1542" w:rsidRDefault="00AC1542" w:rsidP="00DD1088">
      <w:pPr>
        <w:jc w:val="both"/>
        <w:rPr>
          <w:i/>
          <w:iCs/>
          <w:sz w:val="24"/>
          <w:szCs w:val="24"/>
        </w:rPr>
      </w:pPr>
    </w:p>
    <w:p w14:paraId="4983EC47" w14:textId="77777777" w:rsidR="00DD1088" w:rsidRPr="00DD1088" w:rsidRDefault="00DD1088" w:rsidP="00DD1088">
      <w:pPr>
        <w:pStyle w:val="ListParagraph"/>
        <w:numPr>
          <w:ilvl w:val="0"/>
          <w:numId w:val="2"/>
        </w:numPr>
        <w:spacing w:line="240" w:lineRule="auto"/>
        <w:jc w:val="both"/>
        <w:rPr>
          <w:rFonts w:eastAsia="Times New Roman"/>
          <w:sz w:val="24"/>
          <w:szCs w:val="24"/>
        </w:rPr>
      </w:pPr>
      <w:r w:rsidRPr="00DD1088">
        <w:rPr>
          <w:rFonts w:eastAsia="Times New Roman"/>
          <w:sz w:val="24"/>
          <w:szCs w:val="24"/>
        </w:rPr>
        <w:t xml:space="preserve">Apply </w:t>
      </w:r>
      <w:r w:rsidRPr="00DD1088">
        <w:rPr>
          <w:rFonts w:eastAsia="Times New Roman"/>
          <w:b/>
          <w:bCs/>
          <w:sz w:val="24"/>
          <w:szCs w:val="24"/>
        </w:rPr>
        <w:t>SSL/TLS and IPsec protocols</w:t>
      </w:r>
      <w:r w:rsidRPr="00DD1088">
        <w:rPr>
          <w:rFonts w:eastAsia="Times New Roman"/>
          <w:sz w:val="24"/>
          <w:szCs w:val="24"/>
        </w:rPr>
        <w:t xml:space="preserve"> to a secure communication scenario and determine which provides better security for web-based and network-layer protection. </w:t>
      </w:r>
      <w:r>
        <w:rPr>
          <w:b/>
          <w:color w:val="006400"/>
        </w:rPr>
        <w:br/>
      </w:r>
      <w:r>
        <w:rPr>
          <w:b/>
          <w:color w:val="006400"/>
        </w:rPr>
        <w:br/>
        <w:t>Answer:</w:t>
      </w:r>
      <w:r>
        <w:rPr>
          <w:b/>
          <w:color w:val="006400"/>
        </w:rPr>
        <w:br/>
      </w:r>
      <w:r>
        <w:rPr>
          <w:color w:val="000096"/>
        </w:rPr>
        <w:t>SSL/TLS (Transport Layer Security): Operates at the Transport Layer (Layer 4) and provides end-to-end encryption specifically for applications (like HTTPS). It is ideal for web-based protection because it is built into web browsers, requires no special configuration on the client's network, and secures individual application sessions.</w:t>
      </w:r>
      <w:r>
        <w:rPr>
          <w:color w:val="000096"/>
        </w:rPr>
        <w:br/>
        <w:t>IPsec (Internet Protocol Security): Operates at the Network Layer (Layer 3) and encrypts all IP traffic between two endpoints (e.g., VPNs). It is ideal for network-layer protection because it provides transparent security for all applications running over the network, effectively extending the corporate network across the internet.</w:t>
      </w:r>
      <w:r>
        <w:rPr>
          <w:color w:val="000096"/>
        </w:rPr>
        <w:br/>
        <w:t>Conclusion: SSL/TLS provides better, more flexible security for web-based communications due to its application-level focus and ease of deployment. IPsec provides better security for network-layer protection as it seamlessly secures all traffic between network nodes without requiring application modifications.</w:t>
      </w:r>
      <w:r>
        <w:rPr>
          <w:color w:val="000096"/>
        </w:rPr>
        <w:br/>
      </w:r>
    </w:p>
    <w:p w14:paraId="650C356F" w14:textId="77777777" w:rsidR="00DD1088" w:rsidRPr="00DD1088" w:rsidRDefault="00DD1088" w:rsidP="00DD1088">
      <w:pPr>
        <w:pStyle w:val="ListParagraph"/>
        <w:numPr>
          <w:ilvl w:val="0"/>
          <w:numId w:val="2"/>
        </w:numPr>
        <w:spacing w:line="240" w:lineRule="auto"/>
        <w:jc w:val="both"/>
        <w:rPr>
          <w:rFonts w:eastAsia="Times New Roman"/>
          <w:sz w:val="24"/>
          <w:szCs w:val="24"/>
        </w:rPr>
      </w:pPr>
      <w:r w:rsidRPr="00DD1088">
        <w:rPr>
          <w:rFonts w:eastAsia="Times New Roman"/>
          <w:sz w:val="24"/>
          <w:szCs w:val="24"/>
        </w:rPr>
        <w:t xml:space="preserve">Design a secure email system by comparing </w:t>
      </w:r>
      <w:r w:rsidRPr="00DD1088">
        <w:rPr>
          <w:rFonts w:eastAsia="Times New Roman"/>
          <w:b/>
          <w:bCs/>
          <w:sz w:val="24"/>
          <w:szCs w:val="24"/>
        </w:rPr>
        <w:t>end-to-end encryption and gateway-based encryption</w:t>
      </w:r>
      <w:r w:rsidRPr="00DD1088">
        <w:rPr>
          <w:rFonts w:eastAsia="Times New Roman"/>
          <w:sz w:val="24"/>
          <w:szCs w:val="24"/>
        </w:rPr>
        <w:t xml:space="preserve">, and justify the most suitable approach for enterprise use. </w:t>
      </w:r>
      <w:r>
        <w:rPr>
          <w:b/>
          <w:color w:val="006400"/>
        </w:rPr>
        <w:br/>
      </w:r>
      <w:r>
        <w:rPr>
          <w:b/>
          <w:color w:val="006400"/>
        </w:rPr>
        <w:br/>
        <w:t>Answer:</w:t>
      </w:r>
      <w:r>
        <w:rPr>
          <w:b/>
          <w:color w:val="006400"/>
        </w:rPr>
        <w:br/>
      </w:r>
      <w:r>
        <w:rPr>
          <w:color w:val="000096"/>
        </w:rPr>
        <w:t>End-to-End Encryption (E2EE): Encryption occurs on the sender's device, and decryption happens only on the recipient's device (e.g., using PGP or S/MIME). The email server acts only as a conduit and cannot read the contents. This offers maximum privacy but places the burden of key management on users and prevents the organization from inspecting emails for malware or data leaks.</w:t>
      </w:r>
      <w:r>
        <w:rPr>
          <w:color w:val="000096"/>
        </w:rPr>
        <w:br/>
        <w:t>Gateway-Based Encryption: Emails are sent unencrypted over the internal network to a secure email gateway, which then encrypts them before transmitting them over the public internet. The receiving organization's gateway decrypts the email before routing it internally.</w:t>
      </w:r>
      <w:r>
        <w:rPr>
          <w:color w:val="000096"/>
        </w:rPr>
        <w:br/>
        <w:t>Justification for Enterprise Use: Gateway-based encryption is generally the most suitable approach for enterprise use. It allows organizations to centrally manage encryption policies, eliminates the need for individual users to manage cryptographic keys, and crucially allows the enterprise to inspect traffic for malware, phishing, and enforce Data Loss Prevention (DLP) compliance policies before encryption occurs.</w:t>
      </w:r>
      <w:r>
        <w:rPr>
          <w:color w:val="000096"/>
        </w:rPr>
        <w:br/>
      </w:r>
    </w:p>
    <w:p w14:paraId="206AD4C5" w14:textId="77777777" w:rsidR="00DD1088" w:rsidRPr="00DD1088" w:rsidRDefault="00DD1088" w:rsidP="00DD1088">
      <w:pPr>
        <w:pStyle w:val="ListParagraph"/>
        <w:numPr>
          <w:ilvl w:val="0"/>
          <w:numId w:val="2"/>
        </w:numPr>
        <w:spacing w:line="240" w:lineRule="auto"/>
        <w:jc w:val="both"/>
        <w:rPr>
          <w:rFonts w:eastAsia="Times New Roman"/>
          <w:sz w:val="24"/>
          <w:szCs w:val="24"/>
        </w:rPr>
      </w:pPr>
      <w:r w:rsidRPr="00DD1088">
        <w:rPr>
          <w:rFonts w:eastAsia="Times New Roman"/>
          <w:sz w:val="24"/>
          <w:szCs w:val="24"/>
        </w:rPr>
        <w:t xml:space="preserve">Apply </w:t>
      </w:r>
      <w:r w:rsidRPr="00DD1088">
        <w:rPr>
          <w:rFonts w:eastAsia="Times New Roman"/>
          <w:b/>
          <w:bCs/>
          <w:sz w:val="24"/>
          <w:szCs w:val="24"/>
        </w:rPr>
        <w:t>HMAC and Digital Signature techniques</w:t>
      </w:r>
      <w:r w:rsidRPr="00DD1088">
        <w:rPr>
          <w:rFonts w:eastAsia="Times New Roman"/>
          <w:sz w:val="24"/>
          <w:szCs w:val="24"/>
        </w:rPr>
        <w:t xml:space="preserve"> to a data transmission scenario and </w:t>
      </w:r>
      <w:proofErr w:type="spellStart"/>
      <w:r w:rsidRPr="00DD1088">
        <w:rPr>
          <w:rFonts w:eastAsia="Times New Roman"/>
          <w:sz w:val="24"/>
          <w:szCs w:val="24"/>
        </w:rPr>
        <w:t>analyze</w:t>
      </w:r>
      <w:proofErr w:type="spellEnd"/>
      <w:r w:rsidRPr="00DD1088">
        <w:rPr>
          <w:rFonts w:eastAsia="Times New Roman"/>
          <w:sz w:val="24"/>
          <w:szCs w:val="24"/>
        </w:rPr>
        <w:t xml:space="preserve"> which method provides better authentication and integrity. </w:t>
      </w:r>
      <w:r>
        <w:rPr>
          <w:b/>
          <w:color w:val="006400"/>
        </w:rPr>
        <w:br/>
      </w:r>
      <w:r>
        <w:rPr>
          <w:b/>
          <w:color w:val="006400"/>
        </w:rPr>
        <w:br/>
        <w:t>Answer:</w:t>
      </w:r>
      <w:r>
        <w:rPr>
          <w:b/>
          <w:color w:val="006400"/>
        </w:rPr>
        <w:br/>
      </w:r>
      <w:r>
        <w:rPr>
          <w:color w:val="000096"/>
        </w:rPr>
        <w:t>HMAC (Hash-based Message Authentication Code): Uses a symmetric (shared) key combined with a cryptographic hash function. It provides very fast and efficient data integrity and authentication. However, because both sender and receiver possess the same key, it cannot provide non-repudiation (either party could have created the HMAC). This is best for scenarios like an IoT sensor sending frequent temperature readings to a local server.</w:t>
      </w:r>
      <w:r>
        <w:rPr>
          <w:color w:val="000096"/>
        </w:rPr>
        <w:br/>
        <w:t>Digital Signature: Uses asymmetric cryptography (Public Key Infrastructure). The sender signs data with their private key, and anyone can verify it with their public key. It provides data integrity, authentication, and non-repudiation (the sender cannot deny sending the message). This is essential for scenarios like a user signing a legally binding PDF contract.</w:t>
      </w:r>
      <w:r>
        <w:rPr>
          <w:color w:val="000096"/>
        </w:rPr>
        <w:br/>
      </w:r>
      <w:r>
        <w:rPr>
          <w:color w:val="000096"/>
        </w:rPr>
        <w:lastRenderedPageBreak/>
        <w:t>Conclusion: Digital Signatures provide better overall authentication and integrity because they include the critical element of non-repudiation. However, HMAC is far more efficient and is the preferred method for bulk data transmission (like in TLS record layers) where speed is prioritized over non-repudiation.</w:t>
      </w:r>
      <w:r>
        <w:rPr>
          <w:color w:val="000096"/>
        </w:rPr>
        <w:br/>
      </w:r>
    </w:p>
    <w:p w14:paraId="3D713D31" w14:textId="77777777" w:rsidR="00DD1088" w:rsidRPr="00DD1088" w:rsidRDefault="00DD1088" w:rsidP="00DD1088">
      <w:pPr>
        <w:pStyle w:val="ListParagraph"/>
        <w:numPr>
          <w:ilvl w:val="0"/>
          <w:numId w:val="2"/>
        </w:numPr>
        <w:spacing w:line="240" w:lineRule="auto"/>
        <w:jc w:val="both"/>
        <w:rPr>
          <w:rFonts w:eastAsia="Times New Roman"/>
          <w:sz w:val="24"/>
          <w:szCs w:val="24"/>
        </w:rPr>
      </w:pPr>
      <w:r w:rsidRPr="00DD1088">
        <w:rPr>
          <w:rFonts w:eastAsia="Times New Roman"/>
          <w:sz w:val="24"/>
          <w:szCs w:val="24"/>
        </w:rPr>
        <w:t xml:space="preserve">Create a </w:t>
      </w:r>
      <w:r w:rsidRPr="00DD1088">
        <w:rPr>
          <w:rFonts w:eastAsia="Times New Roman"/>
          <w:b/>
          <w:bCs/>
          <w:sz w:val="24"/>
          <w:szCs w:val="24"/>
        </w:rPr>
        <w:t>spam detection system</w:t>
      </w:r>
      <w:r w:rsidRPr="00DD1088">
        <w:rPr>
          <w:rFonts w:eastAsia="Times New Roman"/>
          <w:sz w:val="24"/>
          <w:szCs w:val="24"/>
        </w:rPr>
        <w:t xml:space="preserve"> by comparing supervised learning and unsupervised learning approaches, and evaluate their effectiveness in real-world email filtering. </w:t>
      </w:r>
      <w:r>
        <w:rPr>
          <w:b/>
          <w:color w:val="006400"/>
        </w:rPr>
        <w:br/>
      </w:r>
      <w:r>
        <w:rPr>
          <w:b/>
          <w:color w:val="006400"/>
        </w:rPr>
        <w:br/>
        <w:t>Answer:</w:t>
      </w:r>
      <w:r>
        <w:rPr>
          <w:b/>
          <w:color w:val="006400"/>
        </w:rPr>
        <w:br/>
      </w:r>
      <w:r>
        <w:rPr>
          <w:color w:val="000096"/>
        </w:rPr>
        <w:t>Supervised Learning Approach: The system is trained on a large dataset of emails explicitly labeled as 'spam' or 'ham' (legitimate). Algorithms (like Naive Bayes, Support Vector Machines, or Neural Networks) learn the characteristics of known spam. This approach is highly accurate for detecting known spam patterns but requires continuous, labor-intensive updating of labeled datasets to catch new tactics.</w:t>
      </w:r>
      <w:r>
        <w:rPr>
          <w:color w:val="000096"/>
        </w:rPr>
        <w:br/>
        <w:t>Unsupervised Learning Approach: The system analyzes unlabeled email data to identify hidden structures, clusters, or anomalies (e.g., using K-means clustering). It looks for emails that deviate significantly from typical baseline behavior. This approach is better at detecting novel, 'zero-day' spam campaigns that supervised models have never seen, but it often suffers from higher false-positive rates.</w:t>
      </w:r>
      <w:r>
        <w:rPr>
          <w:color w:val="000096"/>
        </w:rPr>
        <w:br/>
        <w:t>Real-World Effectiveness: In the real world, a hybrid approach is most effective. Supervised learning forms the primary filter due to its high precision and ability to learn from user feedback (e.g., users clicking 'Report Spam'). Unsupervised learning is used as a secondary, supplementary layer for anomaly detection to catch new, sophisticated threats that bypass the supervised model.</w:t>
      </w:r>
      <w:r>
        <w:rPr>
          <w:color w:val="000096"/>
        </w:rPr>
        <w:br/>
      </w:r>
    </w:p>
    <w:p w14:paraId="3C456069" w14:textId="77777777" w:rsidR="00AC1542" w:rsidRPr="00DD1088" w:rsidRDefault="00DD1088" w:rsidP="00DD1088">
      <w:pPr>
        <w:pStyle w:val="ListParagraph"/>
        <w:numPr>
          <w:ilvl w:val="0"/>
          <w:numId w:val="2"/>
        </w:numPr>
        <w:jc w:val="both"/>
        <w:rPr>
          <w:i/>
          <w:iCs/>
          <w:sz w:val="24"/>
          <w:szCs w:val="24"/>
        </w:rPr>
      </w:pPr>
      <w:r w:rsidRPr="00DD1088">
        <w:rPr>
          <w:rFonts w:eastAsia="Times New Roman"/>
          <w:sz w:val="24"/>
          <w:szCs w:val="24"/>
        </w:rPr>
        <w:t xml:space="preserve">Design a secure communication framework by comparing </w:t>
      </w:r>
      <w:r w:rsidRPr="00DD1088">
        <w:rPr>
          <w:rFonts w:eastAsia="Times New Roman"/>
          <w:b/>
          <w:bCs/>
          <w:sz w:val="24"/>
          <w:szCs w:val="24"/>
        </w:rPr>
        <w:t>AES and RSA encryption techniques</w:t>
      </w:r>
      <w:r w:rsidRPr="00DD1088">
        <w:rPr>
          <w:rFonts w:eastAsia="Times New Roman"/>
          <w:sz w:val="24"/>
          <w:szCs w:val="24"/>
        </w:rPr>
        <w:t>, and determine their roles in achieving confidentiality and efficiency.</w:t>
      </w:r>
      <w:r>
        <w:rPr>
          <w:b/>
          <w:color w:val="006400"/>
        </w:rPr>
        <w:br/>
      </w:r>
      <w:r>
        <w:rPr>
          <w:b/>
          <w:color w:val="006400"/>
        </w:rPr>
        <w:br/>
        <w:t>Answer:</w:t>
      </w:r>
      <w:r>
        <w:rPr>
          <w:b/>
          <w:color w:val="006400"/>
        </w:rPr>
        <w:br/>
      </w:r>
      <w:r>
        <w:rPr>
          <w:color w:val="000096"/>
        </w:rPr>
        <w:t>AES (Advanced Encryption Standard): A symmetric-key algorithm that uses the same key for encryption and decryption. It is extremely fast, requires relatively low computational resources, and is highly efficient for encrypting large volumes of data (bulk encryption). The challenge is securely exchanging the shared key.</w:t>
      </w:r>
      <w:r>
        <w:rPr>
          <w:color w:val="000096"/>
        </w:rPr>
        <w:br/>
        <w:t>RSA (Rivest-Shamir-Adleman): An asymmetric-key algorithm using a public and private key pair. It solves the key distribution problem but is computationally very intensive and extremely slow, making it impractical for encrypting large files or streams of data.</w:t>
      </w:r>
      <w:r>
        <w:rPr>
          <w:color w:val="000096"/>
        </w:rPr>
        <w:br/>
        <w:t>Framework Design: To achieve both confidentiality and efficiency, a hybrid cryptographic framework (like the one used in TLS) is designed.</w:t>
      </w:r>
      <w:r>
        <w:rPr>
          <w:color w:val="000096"/>
        </w:rPr>
        <w:br/>
        <w:t>1. Role of RSA: RSA is used initially for authentication (verifying digital certificates) and for the secure exchange of a temporary, symmetric session key over an insecure channel.</w:t>
      </w:r>
      <w:r>
        <w:rPr>
          <w:color w:val="000096"/>
        </w:rPr>
        <w:br/>
        <w:t>2. Role of AES: Once the session key is securely exchanged using RSA, AES takes over using that session key to encrypt and decrypt the actual data payload for the remainder of the session. This combines the secure key distribution of RSA with the high efficiency of AES.</w:t>
      </w:r>
      <w:r>
        <w:rPr>
          <w:color w:val="000096"/>
        </w:rPr>
        <w:br/>
      </w:r>
    </w:p>
    <w:p w14:paraId="027EAA46" w14:textId="77777777" w:rsidR="00AC1542" w:rsidRDefault="00AC1542">
      <w:pPr>
        <w:rPr>
          <w:b/>
          <w:bCs/>
          <w:sz w:val="24"/>
          <w:szCs w:val="24"/>
        </w:rPr>
      </w:pPr>
    </w:p>
    <w:p w14:paraId="5074D2B0" w14:textId="77777777" w:rsidR="00B569B7" w:rsidRDefault="00B569B7">
      <w:pPr>
        <w:rPr>
          <w:b/>
          <w:bCs/>
          <w:sz w:val="24"/>
          <w:szCs w:val="24"/>
        </w:rPr>
      </w:pPr>
    </w:p>
    <w:p w14:paraId="655DE70C" w14:textId="77777777" w:rsidR="00B569B7" w:rsidRDefault="00B569B7">
      <w:pPr>
        <w:rPr>
          <w:b/>
          <w:bCs/>
          <w:sz w:val="24"/>
          <w:szCs w:val="24"/>
        </w:rPr>
      </w:pPr>
    </w:p>
    <w:p w14:paraId="5056EB69" w14:textId="77777777" w:rsidR="00AC1542" w:rsidRDefault="00CF740F">
      <w:pPr>
        <w:rPr>
          <w:b/>
          <w:bCs/>
          <w:sz w:val="24"/>
          <w:szCs w:val="24"/>
        </w:rPr>
      </w:pPr>
      <w:r>
        <w:rPr>
          <w:b/>
          <w:bCs/>
          <w:sz w:val="24"/>
          <w:szCs w:val="24"/>
        </w:rPr>
        <w:lastRenderedPageBreak/>
        <w:t>RUBRICS FOR CALCULATION:</w:t>
      </w:r>
    </w:p>
    <w:p w14:paraId="31920CE4" w14:textId="77777777" w:rsidR="00AC1542" w:rsidRDefault="00AC1542">
      <w:pPr>
        <w:rPr>
          <w:sz w:val="24"/>
          <w:szCs w:val="24"/>
        </w:rPr>
      </w:pPr>
    </w:p>
    <w:tbl>
      <w:tblPr>
        <w:tblStyle w:val="a"/>
        <w:tblW w:w="990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9"/>
        <w:gridCol w:w="1228"/>
        <w:gridCol w:w="2268"/>
        <w:gridCol w:w="1985"/>
        <w:gridCol w:w="1701"/>
        <w:gridCol w:w="1384"/>
      </w:tblGrid>
      <w:tr w:rsidR="00AC1542" w14:paraId="60345DDB" w14:textId="77777777">
        <w:trPr>
          <w:trHeight w:val="525"/>
        </w:trPr>
        <w:tc>
          <w:tcPr>
            <w:tcW w:w="1339" w:type="dxa"/>
            <w:vAlign w:val="bottom"/>
          </w:tcPr>
          <w:p w14:paraId="4B0546F7" w14:textId="77777777" w:rsidR="00AC1542" w:rsidRDefault="00CF740F">
            <w:pPr>
              <w:spacing w:line="240" w:lineRule="auto"/>
              <w:jc w:val="center"/>
              <w:rPr>
                <w:b/>
                <w:bCs/>
                <w:color w:val="000000"/>
                <w:sz w:val="20"/>
                <w:szCs w:val="20"/>
              </w:rPr>
            </w:pPr>
            <w:r>
              <w:rPr>
                <w:b/>
                <w:bCs/>
                <w:color w:val="000000"/>
                <w:sz w:val="20"/>
                <w:szCs w:val="20"/>
              </w:rPr>
              <w:t>Criteria</w:t>
            </w:r>
          </w:p>
        </w:tc>
        <w:tc>
          <w:tcPr>
            <w:tcW w:w="1228" w:type="dxa"/>
            <w:vAlign w:val="bottom"/>
          </w:tcPr>
          <w:p w14:paraId="24805E27" w14:textId="77777777" w:rsidR="00AC1542" w:rsidRDefault="00CF740F">
            <w:pPr>
              <w:spacing w:line="240" w:lineRule="auto"/>
              <w:jc w:val="center"/>
              <w:rPr>
                <w:b/>
                <w:bCs/>
                <w:color w:val="000000"/>
                <w:sz w:val="20"/>
                <w:szCs w:val="20"/>
              </w:rPr>
            </w:pPr>
            <w:r>
              <w:rPr>
                <w:b/>
                <w:bCs/>
                <w:color w:val="000000"/>
                <w:sz w:val="20"/>
                <w:szCs w:val="20"/>
              </w:rPr>
              <w:t>Weightage (%)</w:t>
            </w:r>
          </w:p>
        </w:tc>
        <w:tc>
          <w:tcPr>
            <w:tcW w:w="2268" w:type="dxa"/>
            <w:vAlign w:val="bottom"/>
          </w:tcPr>
          <w:p w14:paraId="6BA8D1A3" w14:textId="77777777" w:rsidR="00AC1542" w:rsidRDefault="00CF740F">
            <w:pPr>
              <w:spacing w:line="240" w:lineRule="auto"/>
              <w:jc w:val="center"/>
              <w:rPr>
                <w:b/>
                <w:bCs/>
                <w:color w:val="000000"/>
                <w:sz w:val="20"/>
                <w:szCs w:val="20"/>
              </w:rPr>
            </w:pPr>
            <w:r>
              <w:rPr>
                <w:b/>
                <w:bCs/>
                <w:color w:val="000000"/>
                <w:sz w:val="20"/>
                <w:szCs w:val="20"/>
              </w:rPr>
              <w:t>Level 4 (Exemplary)</w:t>
            </w:r>
          </w:p>
        </w:tc>
        <w:tc>
          <w:tcPr>
            <w:tcW w:w="1985" w:type="dxa"/>
            <w:vAlign w:val="bottom"/>
          </w:tcPr>
          <w:p w14:paraId="467F4164" w14:textId="77777777" w:rsidR="00AC1542" w:rsidRDefault="00CF740F">
            <w:pPr>
              <w:spacing w:line="240" w:lineRule="auto"/>
              <w:jc w:val="center"/>
              <w:rPr>
                <w:b/>
                <w:bCs/>
                <w:color w:val="000000"/>
                <w:sz w:val="20"/>
                <w:szCs w:val="20"/>
              </w:rPr>
            </w:pPr>
            <w:r>
              <w:rPr>
                <w:b/>
                <w:bCs/>
                <w:color w:val="000000"/>
                <w:sz w:val="20"/>
                <w:szCs w:val="20"/>
              </w:rPr>
              <w:t>Level 3 (Proficient)</w:t>
            </w:r>
          </w:p>
        </w:tc>
        <w:tc>
          <w:tcPr>
            <w:tcW w:w="1701" w:type="dxa"/>
            <w:vAlign w:val="bottom"/>
          </w:tcPr>
          <w:p w14:paraId="1AFC77D1" w14:textId="77777777" w:rsidR="00AC1542" w:rsidRDefault="00CF740F">
            <w:pPr>
              <w:spacing w:line="240" w:lineRule="auto"/>
              <w:jc w:val="center"/>
              <w:rPr>
                <w:b/>
                <w:bCs/>
                <w:color w:val="000000"/>
                <w:sz w:val="20"/>
                <w:szCs w:val="20"/>
              </w:rPr>
            </w:pPr>
            <w:r>
              <w:rPr>
                <w:b/>
                <w:bCs/>
                <w:color w:val="000000"/>
                <w:sz w:val="20"/>
                <w:szCs w:val="20"/>
              </w:rPr>
              <w:t>Level 2 (Developing)</w:t>
            </w:r>
          </w:p>
        </w:tc>
        <w:tc>
          <w:tcPr>
            <w:tcW w:w="1384" w:type="dxa"/>
            <w:vAlign w:val="bottom"/>
          </w:tcPr>
          <w:p w14:paraId="628D4246" w14:textId="77777777" w:rsidR="00AC1542" w:rsidRDefault="00CF740F">
            <w:pPr>
              <w:spacing w:line="240" w:lineRule="auto"/>
              <w:jc w:val="center"/>
              <w:rPr>
                <w:b/>
                <w:bCs/>
                <w:color w:val="000000"/>
                <w:sz w:val="20"/>
                <w:szCs w:val="20"/>
              </w:rPr>
            </w:pPr>
            <w:r>
              <w:rPr>
                <w:b/>
                <w:bCs/>
                <w:color w:val="000000"/>
                <w:sz w:val="20"/>
                <w:szCs w:val="20"/>
              </w:rPr>
              <w:t>Level 1 (Beginning)</w:t>
            </w:r>
          </w:p>
        </w:tc>
      </w:tr>
      <w:tr w:rsidR="00AC1542" w14:paraId="435F080A" w14:textId="77777777">
        <w:trPr>
          <w:trHeight w:val="825"/>
        </w:trPr>
        <w:tc>
          <w:tcPr>
            <w:tcW w:w="1339" w:type="dxa"/>
            <w:vAlign w:val="bottom"/>
          </w:tcPr>
          <w:p w14:paraId="54018003" w14:textId="77777777" w:rsidR="00AC1542" w:rsidRDefault="00CF740F">
            <w:pPr>
              <w:spacing w:line="240" w:lineRule="auto"/>
              <w:rPr>
                <w:color w:val="000000"/>
                <w:sz w:val="20"/>
                <w:szCs w:val="20"/>
              </w:rPr>
            </w:pPr>
            <w:r>
              <w:rPr>
                <w:color w:val="000000"/>
                <w:sz w:val="20"/>
                <w:szCs w:val="20"/>
              </w:rPr>
              <w:t>Scope of Items</w:t>
            </w:r>
          </w:p>
        </w:tc>
        <w:tc>
          <w:tcPr>
            <w:tcW w:w="1228" w:type="dxa"/>
            <w:vAlign w:val="bottom"/>
          </w:tcPr>
          <w:p w14:paraId="5898CAAE" w14:textId="77777777" w:rsidR="00AC1542" w:rsidRDefault="00CF740F">
            <w:pPr>
              <w:spacing w:line="240" w:lineRule="auto"/>
              <w:jc w:val="center"/>
              <w:rPr>
                <w:color w:val="000000"/>
                <w:sz w:val="20"/>
                <w:szCs w:val="20"/>
              </w:rPr>
            </w:pPr>
            <w:r>
              <w:rPr>
                <w:color w:val="000000"/>
                <w:sz w:val="20"/>
                <w:szCs w:val="20"/>
              </w:rPr>
              <w:t>20%</w:t>
            </w:r>
          </w:p>
        </w:tc>
        <w:tc>
          <w:tcPr>
            <w:tcW w:w="2268" w:type="dxa"/>
            <w:vAlign w:val="bottom"/>
          </w:tcPr>
          <w:p w14:paraId="78A45C02" w14:textId="77777777" w:rsidR="00AC1542" w:rsidRDefault="00CF740F">
            <w:pPr>
              <w:spacing w:line="240" w:lineRule="auto"/>
              <w:rPr>
                <w:color w:val="000000"/>
                <w:sz w:val="20"/>
                <w:szCs w:val="20"/>
              </w:rPr>
            </w:pPr>
            <w:r>
              <w:rPr>
                <w:color w:val="000000"/>
                <w:sz w:val="20"/>
                <w:szCs w:val="20"/>
              </w:rPr>
              <w:t>Selects highly relevant items with clear scope and justification</w:t>
            </w:r>
          </w:p>
        </w:tc>
        <w:tc>
          <w:tcPr>
            <w:tcW w:w="1985" w:type="dxa"/>
            <w:vAlign w:val="bottom"/>
          </w:tcPr>
          <w:p w14:paraId="546AC105" w14:textId="77777777" w:rsidR="00AC1542" w:rsidRDefault="00CF740F">
            <w:pPr>
              <w:spacing w:line="240" w:lineRule="auto"/>
              <w:rPr>
                <w:color w:val="000000"/>
                <w:sz w:val="20"/>
                <w:szCs w:val="20"/>
              </w:rPr>
            </w:pPr>
            <w:r>
              <w:rPr>
                <w:color w:val="000000"/>
                <w:sz w:val="20"/>
                <w:szCs w:val="20"/>
              </w:rPr>
              <w:t>Selects appropriate items with minor gaps</w:t>
            </w:r>
          </w:p>
        </w:tc>
        <w:tc>
          <w:tcPr>
            <w:tcW w:w="1701" w:type="dxa"/>
            <w:vAlign w:val="bottom"/>
          </w:tcPr>
          <w:p w14:paraId="1E7BC63E" w14:textId="77777777" w:rsidR="00AC1542" w:rsidRDefault="00CF740F">
            <w:pPr>
              <w:spacing w:line="240" w:lineRule="auto"/>
              <w:rPr>
                <w:color w:val="000000"/>
                <w:sz w:val="20"/>
                <w:szCs w:val="20"/>
              </w:rPr>
            </w:pPr>
            <w:r>
              <w:rPr>
                <w:color w:val="000000"/>
                <w:sz w:val="20"/>
                <w:szCs w:val="20"/>
              </w:rPr>
              <w:t>Selection is limited or partially relevant</w:t>
            </w:r>
          </w:p>
        </w:tc>
        <w:tc>
          <w:tcPr>
            <w:tcW w:w="1384" w:type="dxa"/>
            <w:vAlign w:val="bottom"/>
          </w:tcPr>
          <w:p w14:paraId="0D7101CF" w14:textId="77777777" w:rsidR="00AC1542" w:rsidRDefault="00CF740F">
            <w:pPr>
              <w:spacing w:line="240" w:lineRule="auto"/>
              <w:rPr>
                <w:color w:val="000000"/>
                <w:sz w:val="20"/>
                <w:szCs w:val="20"/>
              </w:rPr>
            </w:pPr>
            <w:r>
              <w:rPr>
                <w:color w:val="000000"/>
                <w:sz w:val="20"/>
                <w:szCs w:val="20"/>
              </w:rPr>
              <w:t>Items are unclear or not relevant</w:t>
            </w:r>
          </w:p>
        </w:tc>
      </w:tr>
      <w:tr w:rsidR="00AC1542" w14:paraId="66C86797" w14:textId="77777777">
        <w:trPr>
          <w:trHeight w:val="825"/>
        </w:trPr>
        <w:tc>
          <w:tcPr>
            <w:tcW w:w="1339" w:type="dxa"/>
            <w:vAlign w:val="bottom"/>
          </w:tcPr>
          <w:p w14:paraId="2FC4370F" w14:textId="77777777" w:rsidR="00AC1542" w:rsidRDefault="00CF740F">
            <w:pPr>
              <w:spacing w:line="240" w:lineRule="auto"/>
              <w:rPr>
                <w:color w:val="000000"/>
                <w:sz w:val="20"/>
                <w:szCs w:val="20"/>
              </w:rPr>
            </w:pPr>
            <w:r>
              <w:rPr>
                <w:color w:val="000000"/>
                <w:sz w:val="20"/>
                <w:szCs w:val="20"/>
              </w:rPr>
              <w:t>Comparison Depth</w:t>
            </w:r>
          </w:p>
        </w:tc>
        <w:tc>
          <w:tcPr>
            <w:tcW w:w="1228" w:type="dxa"/>
            <w:vAlign w:val="bottom"/>
          </w:tcPr>
          <w:p w14:paraId="1581029C" w14:textId="77777777" w:rsidR="00AC1542" w:rsidRDefault="00CF740F">
            <w:pPr>
              <w:spacing w:line="240" w:lineRule="auto"/>
              <w:jc w:val="center"/>
              <w:rPr>
                <w:color w:val="000000"/>
                <w:sz w:val="20"/>
                <w:szCs w:val="20"/>
              </w:rPr>
            </w:pPr>
            <w:r>
              <w:rPr>
                <w:color w:val="000000"/>
                <w:sz w:val="20"/>
                <w:szCs w:val="20"/>
              </w:rPr>
              <w:t>25%</w:t>
            </w:r>
          </w:p>
        </w:tc>
        <w:tc>
          <w:tcPr>
            <w:tcW w:w="2268" w:type="dxa"/>
            <w:vAlign w:val="bottom"/>
          </w:tcPr>
          <w:p w14:paraId="114DCB14" w14:textId="77777777" w:rsidR="00AC1542" w:rsidRDefault="00CF740F">
            <w:pPr>
              <w:spacing w:line="240" w:lineRule="auto"/>
              <w:rPr>
                <w:color w:val="000000"/>
                <w:sz w:val="20"/>
                <w:szCs w:val="20"/>
              </w:rPr>
            </w:pPr>
            <w:r>
              <w:rPr>
                <w:color w:val="000000"/>
                <w:sz w:val="20"/>
                <w:szCs w:val="20"/>
              </w:rPr>
              <w:t>Provides detailed and comprehensive comparison across multiple aspects</w:t>
            </w:r>
          </w:p>
        </w:tc>
        <w:tc>
          <w:tcPr>
            <w:tcW w:w="1985" w:type="dxa"/>
            <w:vAlign w:val="bottom"/>
          </w:tcPr>
          <w:p w14:paraId="70747EC7" w14:textId="77777777" w:rsidR="00AC1542" w:rsidRDefault="00CF740F">
            <w:pPr>
              <w:spacing w:line="240" w:lineRule="auto"/>
              <w:rPr>
                <w:color w:val="000000"/>
                <w:sz w:val="20"/>
                <w:szCs w:val="20"/>
              </w:rPr>
            </w:pPr>
            <w:r>
              <w:rPr>
                <w:color w:val="000000"/>
                <w:sz w:val="20"/>
                <w:szCs w:val="20"/>
              </w:rPr>
              <w:t>Provides adequate comparison with some depth</w:t>
            </w:r>
          </w:p>
        </w:tc>
        <w:tc>
          <w:tcPr>
            <w:tcW w:w="1701" w:type="dxa"/>
            <w:vAlign w:val="bottom"/>
          </w:tcPr>
          <w:p w14:paraId="40308131" w14:textId="77777777" w:rsidR="00AC1542" w:rsidRDefault="00CF740F">
            <w:pPr>
              <w:spacing w:line="240" w:lineRule="auto"/>
              <w:rPr>
                <w:color w:val="000000"/>
                <w:sz w:val="20"/>
                <w:szCs w:val="20"/>
              </w:rPr>
            </w:pPr>
            <w:r>
              <w:rPr>
                <w:color w:val="000000"/>
                <w:sz w:val="20"/>
                <w:szCs w:val="20"/>
              </w:rPr>
              <w:t>Limited comparison with few aspects</w:t>
            </w:r>
          </w:p>
        </w:tc>
        <w:tc>
          <w:tcPr>
            <w:tcW w:w="1384" w:type="dxa"/>
            <w:vAlign w:val="bottom"/>
          </w:tcPr>
          <w:p w14:paraId="1FD91A08" w14:textId="77777777" w:rsidR="00AC1542" w:rsidRDefault="00CF740F">
            <w:pPr>
              <w:spacing w:line="240" w:lineRule="auto"/>
              <w:rPr>
                <w:color w:val="000000"/>
                <w:sz w:val="20"/>
                <w:szCs w:val="20"/>
              </w:rPr>
            </w:pPr>
            <w:r>
              <w:rPr>
                <w:color w:val="000000"/>
                <w:sz w:val="20"/>
                <w:szCs w:val="20"/>
              </w:rPr>
              <w:t>Very minimal or no comparison</w:t>
            </w:r>
          </w:p>
        </w:tc>
      </w:tr>
      <w:tr w:rsidR="00AC1542" w14:paraId="60A09E9D" w14:textId="77777777">
        <w:trPr>
          <w:trHeight w:val="825"/>
        </w:trPr>
        <w:tc>
          <w:tcPr>
            <w:tcW w:w="1339" w:type="dxa"/>
            <w:vAlign w:val="bottom"/>
          </w:tcPr>
          <w:p w14:paraId="313AFF05" w14:textId="77777777" w:rsidR="00AC1542" w:rsidRDefault="00CF740F">
            <w:pPr>
              <w:spacing w:line="240" w:lineRule="auto"/>
              <w:rPr>
                <w:color w:val="000000"/>
                <w:sz w:val="20"/>
                <w:szCs w:val="20"/>
              </w:rPr>
            </w:pPr>
            <w:r>
              <w:rPr>
                <w:color w:val="000000"/>
                <w:sz w:val="20"/>
                <w:szCs w:val="20"/>
              </w:rPr>
              <w:t>Use of Evidence</w:t>
            </w:r>
          </w:p>
        </w:tc>
        <w:tc>
          <w:tcPr>
            <w:tcW w:w="1228" w:type="dxa"/>
            <w:vAlign w:val="bottom"/>
          </w:tcPr>
          <w:p w14:paraId="3F5643A0" w14:textId="77777777" w:rsidR="00AC1542" w:rsidRDefault="00CF740F">
            <w:pPr>
              <w:spacing w:line="240" w:lineRule="auto"/>
              <w:jc w:val="center"/>
              <w:rPr>
                <w:color w:val="000000"/>
                <w:sz w:val="20"/>
                <w:szCs w:val="20"/>
              </w:rPr>
            </w:pPr>
            <w:r>
              <w:rPr>
                <w:color w:val="000000"/>
                <w:sz w:val="20"/>
                <w:szCs w:val="20"/>
              </w:rPr>
              <w:t>20%</w:t>
            </w:r>
          </w:p>
        </w:tc>
        <w:tc>
          <w:tcPr>
            <w:tcW w:w="2268" w:type="dxa"/>
            <w:vAlign w:val="bottom"/>
          </w:tcPr>
          <w:p w14:paraId="6B6D1EAC" w14:textId="77777777" w:rsidR="00AC1542" w:rsidRDefault="00CF740F">
            <w:pPr>
              <w:spacing w:line="240" w:lineRule="auto"/>
              <w:rPr>
                <w:color w:val="000000"/>
                <w:sz w:val="20"/>
                <w:szCs w:val="20"/>
              </w:rPr>
            </w:pPr>
            <w:r>
              <w:rPr>
                <w:color w:val="000000"/>
                <w:sz w:val="20"/>
                <w:szCs w:val="20"/>
              </w:rPr>
              <w:t>Supports comparison with accurate data, examples, or references</w:t>
            </w:r>
          </w:p>
        </w:tc>
        <w:tc>
          <w:tcPr>
            <w:tcW w:w="1985" w:type="dxa"/>
            <w:vAlign w:val="bottom"/>
          </w:tcPr>
          <w:p w14:paraId="543EAC9C" w14:textId="77777777" w:rsidR="00AC1542" w:rsidRDefault="00CF740F">
            <w:pPr>
              <w:spacing w:line="240" w:lineRule="auto"/>
              <w:rPr>
                <w:color w:val="000000"/>
                <w:sz w:val="20"/>
                <w:szCs w:val="20"/>
              </w:rPr>
            </w:pPr>
            <w:r>
              <w:rPr>
                <w:color w:val="000000"/>
                <w:sz w:val="20"/>
                <w:szCs w:val="20"/>
              </w:rPr>
              <w:t>Uses some supporting evidence with minor gaps</w:t>
            </w:r>
          </w:p>
        </w:tc>
        <w:tc>
          <w:tcPr>
            <w:tcW w:w="1701" w:type="dxa"/>
            <w:vAlign w:val="bottom"/>
          </w:tcPr>
          <w:p w14:paraId="0370CDE4" w14:textId="77777777" w:rsidR="00AC1542" w:rsidRDefault="00CF740F">
            <w:pPr>
              <w:spacing w:line="240" w:lineRule="auto"/>
              <w:rPr>
                <w:color w:val="000000"/>
                <w:sz w:val="20"/>
                <w:szCs w:val="20"/>
              </w:rPr>
            </w:pPr>
            <w:r>
              <w:rPr>
                <w:color w:val="000000"/>
                <w:sz w:val="20"/>
                <w:szCs w:val="20"/>
              </w:rPr>
              <w:t>Limited or weak supporting evidence</w:t>
            </w:r>
          </w:p>
        </w:tc>
        <w:tc>
          <w:tcPr>
            <w:tcW w:w="1384" w:type="dxa"/>
            <w:vAlign w:val="bottom"/>
          </w:tcPr>
          <w:p w14:paraId="199768EA" w14:textId="77777777" w:rsidR="00AC1542" w:rsidRDefault="00CF740F">
            <w:pPr>
              <w:spacing w:line="240" w:lineRule="auto"/>
              <w:rPr>
                <w:color w:val="000000"/>
                <w:sz w:val="20"/>
                <w:szCs w:val="20"/>
              </w:rPr>
            </w:pPr>
            <w:r>
              <w:rPr>
                <w:color w:val="000000"/>
                <w:sz w:val="20"/>
                <w:szCs w:val="20"/>
              </w:rPr>
              <w:t>No supporting evidence provided</w:t>
            </w:r>
          </w:p>
        </w:tc>
      </w:tr>
      <w:tr w:rsidR="00AC1542" w14:paraId="61476EF8" w14:textId="77777777">
        <w:trPr>
          <w:trHeight w:val="825"/>
        </w:trPr>
        <w:tc>
          <w:tcPr>
            <w:tcW w:w="1339" w:type="dxa"/>
            <w:vAlign w:val="bottom"/>
          </w:tcPr>
          <w:p w14:paraId="0CF1E36D" w14:textId="77777777" w:rsidR="00AC1542" w:rsidRDefault="00CF740F">
            <w:pPr>
              <w:spacing w:line="240" w:lineRule="auto"/>
              <w:rPr>
                <w:color w:val="000000"/>
                <w:sz w:val="20"/>
                <w:szCs w:val="20"/>
              </w:rPr>
            </w:pPr>
            <w:r>
              <w:rPr>
                <w:color w:val="000000"/>
                <w:sz w:val="20"/>
                <w:szCs w:val="20"/>
              </w:rPr>
              <w:t>Critical Thinking</w:t>
            </w:r>
          </w:p>
        </w:tc>
        <w:tc>
          <w:tcPr>
            <w:tcW w:w="1228" w:type="dxa"/>
            <w:vAlign w:val="bottom"/>
          </w:tcPr>
          <w:p w14:paraId="36AE7FC6" w14:textId="77777777" w:rsidR="00AC1542" w:rsidRDefault="00CF740F">
            <w:pPr>
              <w:spacing w:line="240" w:lineRule="auto"/>
              <w:jc w:val="center"/>
              <w:rPr>
                <w:color w:val="000000"/>
                <w:sz w:val="20"/>
                <w:szCs w:val="20"/>
              </w:rPr>
            </w:pPr>
            <w:r>
              <w:rPr>
                <w:color w:val="000000"/>
                <w:sz w:val="20"/>
                <w:szCs w:val="20"/>
              </w:rPr>
              <w:t>20%</w:t>
            </w:r>
          </w:p>
        </w:tc>
        <w:tc>
          <w:tcPr>
            <w:tcW w:w="2268" w:type="dxa"/>
            <w:vAlign w:val="bottom"/>
          </w:tcPr>
          <w:p w14:paraId="5F68AB17" w14:textId="77777777" w:rsidR="00AC1542" w:rsidRDefault="00CF740F">
            <w:pPr>
              <w:spacing w:line="240" w:lineRule="auto"/>
              <w:rPr>
                <w:color w:val="000000"/>
                <w:sz w:val="20"/>
                <w:szCs w:val="20"/>
              </w:rPr>
            </w:pPr>
            <w:r>
              <w:rPr>
                <w:color w:val="000000"/>
                <w:sz w:val="20"/>
                <w:szCs w:val="20"/>
              </w:rPr>
              <w:t>Demonstrates strong critical thinking with clear interpretation and reasoning</w:t>
            </w:r>
          </w:p>
        </w:tc>
        <w:tc>
          <w:tcPr>
            <w:tcW w:w="1985" w:type="dxa"/>
            <w:vAlign w:val="bottom"/>
          </w:tcPr>
          <w:p w14:paraId="4D787B3B" w14:textId="77777777" w:rsidR="00AC1542" w:rsidRDefault="00CF740F">
            <w:pPr>
              <w:spacing w:line="240" w:lineRule="auto"/>
              <w:rPr>
                <w:color w:val="000000"/>
                <w:sz w:val="20"/>
                <w:szCs w:val="20"/>
              </w:rPr>
            </w:pPr>
            <w:r>
              <w:rPr>
                <w:color w:val="000000"/>
                <w:sz w:val="20"/>
                <w:szCs w:val="20"/>
              </w:rPr>
              <w:t>Shows reasonable interpretation with minor gaps</w:t>
            </w:r>
          </w:p>
        </w:tc>
        <w:tc>
          <w:tcPr>
            <w:tcW w:w="1701" w:type="dxa"/>
            <w:vAlign w:val="bottom"/>
          </w:tcPr>
          <w:p w14:paraId="221C532A" w14:textId="77777777" w:rsidR="00AC1542" w:rsidRDefault="00CF740F">
            <w:pPr>
              <w:spacing w:line="240" w:lineRule="auto"/>
              <w:rPr>
                <w:color w:val="000000"/>
                <w:sz w:val="20"/>
                <w:szCs w:val="20"/>
              </w:rPr>
            </w:pPr>
            <w:r>
              <w:rPr>
                <w:color w:val="000000"/>
                <w:sz w:val="20"/>
                <w:szCs w:val="20"/>
              </w:rPr>
              <w:t>Basic interpretation; lacks depth</w:t>
            </w:r>
          </w:p>
        </w:tc>
        <w:tc>
          <w:tcPr>
            <w:tcW w:w="1384" w:type="dxa"/>
            <w:vAlign w:val="bottom"/>
          </w:tcPr>
          <w:p w14:paraId="33AF25BC" w14:textId="77777777" w:rsidR="00AC1542" w:rsidRDefault="00CF740F">
            <w:pPr>
              <w:spacing w:line="240" w:lineRule="auto"/>
              <w:rPr>
                <w:color w:val="000000"/>
                <w:sz w:val="20"/>
                <w:szCs w:val="20"/>
              </w:rPr>
            </w:pPr>
            <w:r>
              <w:rPr>
                <w:color w:val="000000"/>
                <w:sz w:val="20"/>
                <w:szCs w:val="20"/>
              </w:rPr>
              <w:t>No meaningful interpretation</w:t>
            </w:r>
          </w:p>
        </w:tc>
      </w:tr>
      <w:tr w:rsidR="00AC1542" w14:paraId="1B7507DE" w14:textId="77777777">
        <w:trPr>
          <w:trHeight w:val="825"/>
        </w:trPr>
        <w:tc>
          <w:tcPr>
            <w:tcW w:w="1339" w:type="dxa"/>
            <w:vAlign w:val="bottom"/>
          </w:tcPr>
          <w:p w14:paraId="0C78F97D" w14:textId="77777777" w:rsidR="00AC1542" w:rsidRDefault="00CF740F">
            <w:pPr>
              <w:spacing w:line="240" w:lineRule="auto"/>
              <w:rPr>
                <w:color w:val="000000"/>
                <w:sz w:val="20"/>
                <w:szCs w:val="20"/>
              </w:rPr>
            </w:pPr>
            <w:r>
              <w:rPr>
                <w:color w:val="000000"/>
                <w:sz w:val="20"/>
                <w:szCs w:val="20"/>
              </w:rPr>
              <w:t>Clarity of Presentation</w:t>
            </w:r>
          </w:p>
        </w:tc>
        <w:tc>
          <w:tcPr>
            <w:tcW w:w="1228" w:type="dxa"/>
            <w:vAlign w:val="bottom"/>
          </w:tcPr>
          <w:p w14:paraId="1807D846" w14:textId="77777777" w:rsidR="00AC1542" w:rsidRDefault="00CF740F">
            <w:pPr>
              <w:spacing w:line="240" w:lineRule="auto"/>
              <w:jc w:val="center"/>
              <w:rPr>
                <w:color w:val="000000"/>
                <w:sz w:val="20"/>
                <w:szCs w:val="20"/>
              </w:rPr>
            </w:pPr>
            <w:r>
              <w:rPr>
                <w:color w:val="000000"/>
                <w:sz w:val="20"/>
                <w:szCs w:val="20"/>
              </w:rPr>
              <w:t>15%</w:t>
            </w:r>
          </w:p>
        </w:tc>
        <w:tc>
          <w:tcPr>
            <w:tcW w:w="2268" w:type="dxa"/>
            <w:vAlign w:val="bottom"/>
          </w:tcPr>
          <w:p w14:paraId="0000C130" w14:textId="77777777" w:rsidR="00AC1542" w:rsidRDefault="00CF740F">
            <w:pPr>
              <w:spacing w:line="240" w:lineRule="auto"/>
              <w:rPr>
                <w:color w:val="000000"/>
                <w:sz w:val="20"/>
                <w:szCs w:val="20"/>
              </w:rPr>
            </w:pPr>
            <w:r>
              <w:rPr>
                <w:color w:val="000000"/>
                <w:sz w:val="20"/>
                <w:szCs w:val="20"/>
              </w:rPr>
              <w:t>Well-organized, clear, and logically structured presentation</w:t>
            </w:r>
          </w:p>
        </w:tc>
        <w:tc>
          <w:tcPr>
            <w:tcW w:w="1985" w:type="dxa"/>
            <w:vAlign w:val="bottom"/>
          </w:tcPr>
          <w:p w14:paraId="37FFF40D" w14:textId="77777777" w:rsidR="00AC1542" w:rsidRDefault="00CF740F">
            <w:pPr>
              <w:spacing w:line="240" w:lineRule="auto"/>
              <w:rPr>
                <w:color w:val="000000"/>
                <w:sz w:val="20"/>
                <w:szCs w:val="20"/>
              </w:rPr>
            </w:pPr>
            <w:r>
              <w:rPr>
                <w:color w:val="000000"/>
                <w:sz w:val="20"/>
                <w:szCs w:val="20"/>
              </w:rPr>
              <w:t>Generally clear with minor issues</w:t>
            </w:r>
          </w:p>
        </w:tc>
        <w:tc>
          <w:tcPr>
            <w:tcW w:w="1701" w:type="dxa"/>
            <w:vAlign w:val="bottom"/>
          </w:tcPr>
          <w:p w14:paraId="7142779B" w14:textId="77777777" w:rsidR="00AC1542" w:rsidRDefault="00CF740F">
            <w:pPr>
              <w:spacing w:line="240" w:lineRule="auto"/>
              <w:rPr>
                <w:color w:val="000000"/>
                <w:sz w:val="20"/>
                <w:szCs w:val="20"/>
              </w:rPr>
            </w:pPr>
            <w:r>
              <w:rPr>
                <w:color w:val="000000"/>
                <w:sz w:val="20"/>
                <w:szCs w:val="20"/>
              </w:rPr>
              <w:t>Somewhat unclear or poorly structured</w:t>
            </w:r>
          </w:p>
        </w:tc>
        <w:tc>
          <w:tcPr>
            <w:tcW w:w="1384" w:type="dxa"/>
            <w:vAlign w:val="bottom"/>
          </w:tcPr>
          <w:p w14:paraId="1DF3579E" w14:textId="77777777" w:rsidR="00AC1542" w:rsidRDefault="00CF740F">
            <w:pPr>
              <w:spacing w:line="240" w:lineRule="auto"/>
              <w:rPr>
                <w:color w:val="000000"/>
                <w:sz w:val="20"/>
                <w:szCs w:val="20"/>
              </w:rPr>
            </w:pPr>
            <w:r>
              <w:rPr>
                <w:color w:val="000000"/>
                <w:sz w:val="20"/>
                <w:szCs w:val="20"/>
              </w:rPr>
              <w:t>Disorganized and difficult to understand</w:t>
            </w:r>
          </w:p>
        </w:tc>
      </w:tr>
    </w:tbl>
    <w:p w14:paraId="73BB7D5A" w14:textId="77777777" w:rsidR="00AC1542" w:rsidRDefault="00AC1542" w:rsidP="00B569B7">
      <w:pPr>
        <w:rPr>
          <w:b/>
          <w:bCs/>
          <w:sz w:val="34"/>
          <w:szCs w:val="34"/>
        </w:rPr>
      </w:pPr>
    </w:p>
    <w:sectPr w:rsidR="00AC1542">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F7009A-0B65-4827-933D-B8F92ECC7A73}"/>
  </w:font>
  <w:font w:name="Cambria">
    <w:panose1 w:val="02040503050406030204"/>
    <w:charset w:val="00"/>
    <w:family w:val="roman"/>
    <w:pitch w:val="variable"/>
    <w:sig w:usb0="E00006FF" w:usb1="420024FF" w:usb2="02000000" w:usb3="00000000" w:csb0="0000019F" w:csb1="00000000"/>
    <w:embedRegular r:id="rId2" w:fontKey="{D8F9097B-C04E-46C2-86D4-CDE5C2B071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55039"/>
    <w:multiLevelType w:val="multilevel"/>
    <w:tmpl w:val="DB865F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F3A3B05"/>
    <w:multiLevelType w:val="hybridMultilevel"/>
    <w:tmpl w:val="D45A37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366A3C"/>
    <w:multiLevelType w:val="hybridMultilevel"/>
    <w:tmpl w:val="7D90999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5557047">
    <w:abstractNumId w:val="0"/>
  </w:num>
  <w:num w:numId="2" w16cid:durableId="1128165459">
    <w:abstractNumId w:val="1"/>
  </w:num>
  <w:num w:numId="3" w16cid:durableId="658575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542"/>
    <w:rsid w:val="00334E91"/>
    <w:rsid w:val="00670ADD"/>
    <w:rsid w:val="00AC1542"/>
    <w:rsid w:val="00B569B7"/>
    <w:rsid w:val="00CF740F"/>
    <w:rsid w:val="00DD10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4BE3E"/>
  <w15:docId w15:val="{3762E725-6991-4DC8-9CEE-6C596997B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Strong">
    <w:name w:val="Strong"/>
    <w:basedOn w:val="DefaultParagraphFont"/>
    <w:uiPriority w:val="22"/>
    <w:qFormat/>
    <w:rsid w:val="00DD1088"/>
    <w:rPr>
      <w:b/>
      <w:bCs/>
    </w:rPr>
  </w:style>
  <w:style w:type="paragraph" w:styleId="ListParagraph">
    <w:name w:val="List Paragraph"/>
    <w:basedOn w:val="Normal"/>
    <w:uiPriority w:val="34"/>
    <w:qFormat/>
    <w:rsid w:val="00DD10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0344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PCvt8S1S0xhTcL8fZIC5eMA1BQ==">CgMxLjA4AHIhMUFwRGU0RnMxYkpkelBXTE41T3kwdHBfQmNqbHA2WEN4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Ayush Mohapatra</cp:lastModifiedBy>
  <cp:revision>3</cp:revision>
  <dcterms:created xsi:type="dcterms:W3CDTF">2026-04-13T09:22:00Z</dcterms:created>
  <dcterms:modified xsi:type="dcterms:W3CDTF">2026-08-19T09:05:00Z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1c7c161d-a2fe-43fe-bbca-02dd06a9de2a</vt:lpwstr>
  </property>
</Properties>
</file>