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Project Report</w:t>
      </w:r>
    </w:p>
    <w:p>
      <w:pPr>
        <w:spacing w:after="400"/>
        <w:jc w:val="center"/>
      </w:pPr>
      <w:r>
        <w:rPr>
          <w:b/>
          <w:bCs/>
          <w:sz w:val="26"/>
          <w:szCs w:val="26"/>
        </w:rPr>
        <w:t xml:space="preserve">Smart Washroom Hygiene Monitoring and Automatic Disinfection System Using ESP32</w:t>
      </w:r>
    </w:p>
    <w:p>
      <w:pPr>
        <w:spacing w:after="400"/>
        <w:jc w:val="center"/>
      </w:pPr>
      <w:r>
        <w:rPr>
          <w:i/>
          <w:iCs/>
          <w:color w:val="666666"/>
          <w:sz w:val="20"/>
          <w:szCs w:val="20"/>
        </w:rPr>
        <w:t xml:space="preserve">Revision 2 — updated after prototyping, dataset validation, and design review</w:t>
      </w:r>
    </w:p>
    <w:p>
      <w:pPr>
        <w:pStyle w:val="Heading1"/>
        <w:spacing w:after="150" w:before="300"/>
      </w:pPr>
      <w:r>
        <w:t xml:space="preserve">1. Title</w:t>
      </w:r>
    </w:p>
    <w:p>
      <w:pPr>
        <w:spacing w:after="120"/>
      </w:pPr>
      <w:r>
        <w:t xml:space="preserve">Smart Washroom Hygiene Monitoring and Automatic Disinfection System Using ESP32</w:t>
      </w:r>
    </w:p>
    <w:p>
      <w:pPr>
        <w:pStyle w:val="Heading1"/>
        <w:spacing w:after="150" w:before="300"/>
      </w:pPr>
      <w:r>
        <w:t xml:space="preserve">2. Abstract</w:t>
      </w:r>
    </w:p>
    <w:p>
      <w:pPr>
        <w:spacing w:after="120"/>
      </w:pPr>
      <w:r>
        <w:t xml:space="preserve">Public washrooms in India often suffer from poor hygiene due to inadequate maintenance, unpleasant odor, insufficient water availability, and delayed cleaning. Existing smart toilet solutions require expensive reconstruction and installation of multiple distributed sensors, making them unsuitable for already-constructed public washrooms.</w:t>
      </w:r>
    </w:p>
    <w:p>
      <w:pPr>
        <w:spacing w:after="120"/>
      </w:pPr>
      <w:r>
        <w:t xml:space="preserve">This project proposes a single Smart Hygiene Box that can be installed inside an existing washroom without structural modification. The system continuously monitors air quality, water availability, and occupancy (using two independent, cross-checking sensors), and automatically disinfects the toilet seat after every use — while never spraying while the washroom is occupied. The system is controlled by an ESP32 microcontroller, exposes a live Streamlit dashboard as its primary interface, and is designed for later integration with cloud monitoring for smart-city applications.</w:t>
      </w:r>
    </w:p>
    <w:p>
      <w:pPr>
        <w:spacing w:after="120"/>
      </w:pPr>
      <w:r>
        <w:t xml:space="preserve">A key technical contribution is virtual sensing of the disinfectant reservoir level: rather than adding a dedicated level sensor to a second tank, the system infers remaining disinfectant from indirect signals (spray counts, timing, and usage patterns) using a trained model, evaluated against a naive counter baseline.</w:t>
      </w:r>
    </w:p>
    <w:p>
      <w:pPr>
        <w:pStyle w:val="Heading1"/>
        <w:spacing w:after="150" w:before="300"/>
      </w:pPr>
      <w:r>
        <w:t xml:space="preserve">3. Problem Statement</w:t>
      </w:r>
    </w:p>
    <w:p>
      <w:pPr>
        <w:pStyle w:val="ListParagraph"/>
        <w:numPr>
          <w:ilvl w:val="0"/>
          <w:numId w:val="1"/>
        </w:numPr>
        <w:spacing w:after="60"/>
      </w:pPr>
      <w:r>
        <w:t xml:space="preserve">Bad odor due to poor ventilation</w:t>
      </w:r>
    </w:p>
    <w:p>
      <w:pPr>
        <w:pStyle w:val="ListParagraph"/>
        <w:numPr>
          <w:ilvl w:val="0"/>
          <w:numId w:val="1"/>
        </w:numPr>
        <w:spacing w:after="60"/>
      </w:pPr>
      <w:r>
        <w:t xml:space="preserve">Lack of timely, needs-based disinfection</w:t>
      </w:r>
    </w:p>
    <w:p>
      <w:pPr>
        <w:pStyle w:val="ListParagraph"/>
        <w:numPr>
          <w:ilvl w:val="0"/>
          <w:numId w:val="1"/>
        </w:numPr>
        <w:spacing w:after="60"/>
      </w:pPr>
      <w:r>
        <w:t xml:space="preserve">Unknown water and disinfectant availability</w:t>
      </w:r>
    </w:p>
    <w:p>
      <w:pPr>
        <w:pStyle w:val="ListParagraph"/>
        <w:numPr>
          <w:ilvl w:val="0"/>
          <w:numId w:val="1"/>
        </w:numPr>
        <w:spacing w:after="60"/>
      </w:pPr>
      <w:r>
        <w:t xml:space="preserve">Manual inspection required</w:t>
      </w:r>
    </w:p>
    <w:p>
      <w:pPr>
        <w:pStyle w:val="ListParagraph"/>
        <w:numPr>
          <w:ilvl w:val="0"/>
          <w:numId w:val="1"/>
        </w:numPr>
        <w:spacing w:after="60"/>
      </w:pPr>
      <w:r>
        <w:t xml:space="preserve">No automatic hygiene monitoring</w:t>
      </w:r>
    </w:p>
    <w:p>
      <w:pPr>
        <w:pStyle w:val="ListParagraph"/>
        <w:numPr>
          <w:ilvl w:val="0"/>
          <w:numId w:val="1"/>
        </w:numPr>
        <w:spacing w:after="60"/>
      </w:pPr>
      <w:r>
        <w:t xml:space="preserve">High maintenance cost</w:t>
      </w:r>
    </w:p>
    <w:p>
      <w:pPr>
        <w:spacing w:after="120"/>
      </w:pPr>
      <w:r>
        <w:t xml:space="preserve">Existing smart toilets require complete reconstruction of washrooms, which is expensive. There is a need for a low-cost, plug-and-play device that retrofits into existing washrooms without rebuilding them.</w:t>
      </w:r>
    </w:p>
    <w:p>
      <w:pPr>
        <w:pStyle w:val="Heading1"/>
        <w:spacing w:after="150" w:before="300"/>
      </w:pPr>
      <w:r>
        <w:t xml:space="preserve">4. Objective</w:t>
      </w:r>
    </w:p>
    <w:p>
      <w:pPr>
        <w:pStyle w:val="ListParagraph"/>
        <w:numPr>
          <w:ilvl w:val="0"/>
          <w:numId w:val="1"/>
        </w:numPr>
        <w:spacing w:after="60"/>
      </w:pPr>
      <w:r>
        <w:t xml:space="preserve">Monitor washroom hygiene continuously</w:t>
      </w:r>
    </w:p>
    <w:p>
      <w:pPr>
        <w:pStyle w:val="ListParagraph"/>
        <w:numPr>
          <w:ilvl w:val="0"/>
          <w:numId w:val="1"/>
        </w:numPr>
        <w:spacing w:after="60"/>
      </w:pPr>
      <w:r>
        <w:t xml:space="preserve">Detect poor air quality without over-reacting to a single noisy reading</w:t>
      </w:r>
    </w:p>
    <w:p>
      <w:pPr>
        <w:pStyle w:val="ListParagraph"/>
        <w:numPr>
          <w:ilvl w:val="0"/>
          <w:numId w:val="1"/>
        </w:numPr>
        <w:spacing w:after="60"/>
      </w:pPr>
      <w:r>
        <w:t xml:space="preserve">Measure water availability and infer disinfectant availability without an extra tank sensor</w:t>
      </w:r>
    </w:p>
    <w:p>
      <w:pPr>
        <w:pStyle w:val="ListParagraph"/>
        <w:numPr>
          <w:ilvl w:val="0"/>
          <w:numId w:val="1"/>
        </w:numPr>
        <w:spacing w:after="60"/>
      </w:pPr>
      <w:r>
        <w:t xml:space="preserve">Detect occupancy reliably, including a person who is not moving</w:t>
      </w:r>
    </w:p>
    <w:p>
      <w:pPr>
        <w:pStyle w:val="ListParagraph"/>
        <w:numPr>
          <w:ilvl w:val="0"/>
          <w:numId w:val="1"/>
        </w:numPr>
        <w:spacing w:after="60"/>
      </w:pPr>
      <w:r>
        <w:t xml:space="preserve">Disinfect the seat automatically after every use, and never while the washroom is occupied</w:t>
      </w:r>
    </w:p>
    <w:p>
      <w:pPr>
        <w:pStyle w:val="ListParagraph"/>
        <w:numPr>
          <w:ilvl w:val="0"/>
          <w:numId w:val="1"/>
        </w:numPr>
        <w:spacing w:after="60"/>
      </w:pPr>
      <w:r>
        <w:t xml:space="preserve">Display real-time washroom status (Streamlit now; physical display later)</w:t>
      </w:r>
    </w:p>
    <w:p>
      <w:pPr>
        <w:pStyle w:val="ListParagraph"/>
        <w:numPr>
          <w:ilvl w:val="0"/>
          <w:numId w:val="1"/>
        </w:numPr>
        <w:spacing w:after="60"/>
      </w:pPr>
      <w:r>
        <w:t xml:space="preserve">Reduce manual inspection and improve public sanitation</w:t>
      </w:r>
    </w:p>
    <w:p>
      <w:pPr>
        <w:pStyle w:val="Heading1"/>
        <w:spacing w:after="150" w:before="300"/>
      </w:pPr>
      <w:r>
        <w:t xml:space="preserve">5. Proposed Solution</w:t>
      </w:r>
    </w:p>
    <w:p>
      <w:pPr>
        <w:spacing w:after="120"/>
      </w:pPr>
      <w:r>
        <w:t xml:space="preserve">The system consists of a single control box mounted inside the washroom, built around an ESP32, which collects sensor data and drives two independent actuators (a disinfectant mist pump and a water-refill pump) through a 4-channel relay module. Two occupancy sensors are used together — an LD2410 mmWave presence sensor and a PIR/IR motion sensor — because the IR sensor alone misses a person who is sitting still, which matters directly for the safety rule below.</w:t>
      </w:r>
    </w:p>
    <w:p>
      <w:pPr>
        <w:shd w:fill="FFF4E5" w:val="clear"/>
        <w:spacing w:after="150" w:before="100"/>
      </w:pPr>
      <w:r>
        <w:rPr>
          <w:b/>
          <w:bCs/>
          <w:color w:val="9C5700"/>
        </w:rPr>
        <w:t xml:space="preserve">Note: </w:t>
      </w:r>
      <w:r>
        <w:rPr>
          <w:i/>
          <w:iCs/>
          <w:color w:val="9C5700"/>
        </w:rPr>
        <w:t xml:space="preserve">The disinfection trigger is occupancy-aware by design: the system never fires the mist pump while either occupancy sensor indicates the washroom is in use. This was corrected during design review — an earlier draft's air-quality-only trigger could have sprayed disinfectant on an occupant. See Section 9.</w:t>
      </w:r>
    </w:p>
    <w:p>
      <w:pPr>
        <w:pStyle w:val="Heading1"/>
        <w:spacing w:after="150" w:before="300"/>
      </w:pPr>
      <w:r>
        <w:t xml:space="preserve">6. Components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200"/>
      </w:tblGrid>
      <w:tr>
        <w:trPr>
          <w:tblHeader/>
        </w:trPr>
        <w:tc>
          <w:tcPr>
            <w:tcW w:type="dxa" w:w="3600"/>
            <w:shd w:fill="2F5496" w:val="clear"/>
            <w:vAlign w:val="center"/>
          </w:tcPr>
          <w:p>
            <w:r>
              <w:rPr>
                <w:b/>
                <w:bCs/>
                <w:color w:val="FFFFFF"/>
                <w:sz w:val="20"/>
                <w:szCs w:val="20"/>
              </w:rPr>
              <w:t xml:space="preserve">Component</w:t>
            </w:r>
          </w:p>
        </w:tc>
        <w:tc>
          <w:tcPr>
            <w:tcW w:type="dxa" w:w="1400"/>
            <w:shd w:fill="2F5496" w:val="clear"/>
            <w:vAlign w:val="center"/>
          </w:tcPr>
          <w:p>
            <w:r>
              <w:rPr>
                <w:b/>
                <w:bCs/>
                <w:color w:val="FFFFFF"/>
                <w:sz w:val="20"/>
                <w:szCs w:val="20"/>
              </w:rPr>
              <w:t xml:space="preserve">Quantity</w:t>
            </w:r>
          </w:p>
        </w:tc>
        <w:tc>
          <w:tcPr>
            <w:tcW w:type="dxa" w:w="4200"/>
            <w:shd w:fill="2F5496" w:val="clear"/>
            <w:vAlign w:val="center"/>
          </w:tcPr>
          <w:p>
            <w:r>
              <w:rPr>
                <w:b/>
                <w:bCs/>
                <w:color w:val="FFFFFF"/>
                <w:sz w:val="20"/>
                <w:szCs w:val="20"/>
              </w:rPr>
              <w:t xml:space="preserve">Purpose</w:t>
            </w:r>
          </w:p>
        </w:tc>
      </w:tr>
      <w:tr>
        <w:tc>
          <w:tcPr>
            <w:tcW w:type="dxa" w:w="3600"/>
            <w:vAlign w:val="center"/>
          </w:tcPr>
          <w:p>
            <w:r>
              <w:rPr>
                <w:b w:val="false"/>
                <w:bCs w:val="false"/>
                <w:color w:val="000000"/>
                <w:sz w:val="20"/>
                <w:szCs w:val="20"/>
              </w:rPr>
              <w:t xml:space="preserve">ESP32 Dev Kit</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Main controller</w:t>
            </w:r>
          </w:p>
        </w:tc>
      </w:tr>
      <w:tr>
        <w:tc>
          <w:tcPr>
            <w:tcW w:type="dxa" w:w="3600"/>
            <w:vAlign w:val="center"/>
          </w:tcPr>
          <w:p>
            <w:r>
              <w:rPr>
                <w:b w:val="false"/>
                <w:bCs w:val="false"/>
                <w:color w:val="000000"/>
                <w:sz w:val="20"/>
                <w:szCs w:val="20"/>
              </w:rPr>
              <w:t xml:space="preserve">MQ135 Gas Sensor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Odor / air-quality sensing (input to anomaly detection)</w:t>
            </w:r>
          </w:p>
        </w:tc>
      </w:tr>
      <w:tr>
        <w:tc>
          <w:tcPr>
            <w:tcW w:type="dxa" w:w="3600"/>
            <w:vAlign w:val="center"/>
          </w:tcPr>
          <w:p>
            <w:r>
              <w:rPr>
                <w:b w:val="false"/>
                <w:bCs w:val="false"/>
                <w:color w:val="000000"/>
                <w:sz w:val="20"/>
                <w:szCs w:val="20"/>
              </w:rPr>
              <w:t xml:space="preserve">HC-SR04 Ultrasonic Sensor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Primary water tank level measurement</w:t>
            </w:r>
          </w:p>
        </w:tc>
      </w:tr>
      <w:tr>
        <w:tc>
          <w:tcPr>
            <w:tcW w:type="dxa" w:w="3600"/>
            <w:vAlign w:val="center"/>
          </w:tcPr>
          <w:p>
            <w:r>
              <w:rPr>
                <w:b w:val="false"/>
                <w:bCs w:val="false"/>
                <w:color w:val="000000"/>
                <w:sz w:val="20"/>
                <w:szCs w:val="20"/>
              </w:rPr>
              <w:t xml:space="preserve">LD2410 mmWave Presence Sensor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Occupancy detection — including a stationary person</w:t>
            </w:r>
          </w:p>
        </w:tc>
      </w:tr>
      <w:tr>
        <w:tc>
          <w:tcPr>
            <w:tcW w:type="dxa" w:w="3600"/>
            <w:vAlign w:val="center"/>
          </w:tcPr>
          <w:p>
            <w:r>
              <w:rPr>
                <w:b w:val="false"/>
                <w:bCs w:val="false"/>
                <w:color w:val="000000"/>
                <w:sz w:val="20"/>
                <w:szCs w:val="20"/>
              </w:rPr>
              <w:t xml:space="preserve">IR / PIR Motion Sensor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Second, independent occupancy signal; cross-checked against LD2410</w:t>
            </w:r>
          </w:p>
        </w:tc>
      </w:tr>
      <w:tr>
        <w:tc>
          <w:tcPr>
            <w:tcW w:type="dxa" w:w="3600"/>
            <w:vAlign w:val="center"/>
          </w:tcPr>
          <w:p>
            <w:r>
              <w:rPr>
                <w:b w:val="false"/>
                <w:bCs w:val="false"/>
                <w:color w:val="000000"/>
                <w:sz w:val="20"/>
                <w:szCs w:val="20"/>
              </w:rPr>
              <w:t xml:space="preserve">OLED Display</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Phase 2: on-door status display (deferred — Streamlit is primary for now)</w:t>
            </w:r>
          </w:p>
        </w:tc>
      </w:tr>
      <w:tr>
        <w:tc>
          <w:tcPr>
            <w:tcW w:type="dxa" w:w="3600"/>
            <w:vAlign w:val="center"/>
          </w:tcPr>
          <w:p>
            <w:r>
              <w:rPr>
                <w:b w:val="false"/>
                <w:bCs w:val="false"/>
                <w:color w:val="000000"/>
                <w:sz w:val="20"/>
                <w:szCs w:val="20"/>
              </w:rPr>
              <w:t xml:space="preserve">LED Indicator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Interim simple Occupied/Vacant signal for passers-by until OLED is added</w:t>
            </w:r>
          </w:p>
        </w:tc>
      </w:tr>
      <w:tr>
        <w:tc>
          <w:tcPr>
            <w:tcW w:type="dxa" w:w="3600"/>
            <w:vAlign w:val="center"/>
          </w:tcPr>
          <w:p>
            <w:r>
              <w:rPr>
                <w:b w:val="false"/>
                <w:bCs w:val="false"/>
                <w:color w:val="000000"/>
                <w:sz w:val="20"/>
                <w:szCs w:val="20"/>
              </w:rPr>
              <w:t xml:space="preserve">4-Channel Relay Module</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Channel 1: mist pump. Channel 2: water refill pump</w:t>
            </w:r>
          </w:p>
        </w:tc>
      </w:tr>
      <w:tr>
        <w:tc>
          <w:tcPr>
            <w:tcW w:type="dxa" w:w="3600"/>
            <w:vAlign w:val="center"/>
          </w:tcPr>
          <w:p>
            <w:r>
              <w:rPr>
                <w:b w:val="false"/>
                <w:bCs w:val="false"/>
                <w:color w:val="000000"/>
                <w:sz w:val="20"/>
                <w:szCs w:val="20"/>
              </w:rPr>
              <w:t xml:space="preserve">12V Mini Water Pump (spray)</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Sprays disinfectant onto the seat</w:t>
            </w:r>
          </w:p>
        </w:tc>
      </w:tr>
      <w:tr>
        <w:tc>
          <w:tcPr>
            <w:tcW w:type="dxa" w:w="3600"/>
            <w:vAlign w:val="center"/>
          </w:tcPr>
          <w:p>
            <w:r>
              <w:rPr>
                <w:b w:val="false"/>
                <w:bCs w:val="false"/>
                <w:color w:val="000000"/>
                <w:sz w:val="20"/>
                <w:szCs w:val="20"/>
              </w:rPr>
              <w:t xml:space="preserve">12V Water Pump (refill) — previously spare</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Auto-refills the primary water tank from a backup reservoir</w:t>
            </w:r>
          </w:p>
        </w:tc>
      </w:tr>
      <w:tr>
        <w:tc>
          <w:tcPr>
            <w:tcW w:type="dxa" w:w="3600"/>
            <w:vAlign w:val="center"/>
          </w:tcPr>
          <w:p>
            <w:r>
              <w:rPr>
                <w:b w:val="false"/>
                <w:bCs w:val="false"/>
                <w:color w:val="000000"/>
                <w:sz w:val="20"/>
                <w:szCs w:val="20"/>
              </w:rPr>
              <w:t xml:space="preserve">Mist Nozzle</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Fine disinfectant spray</w:t>
            </w:r>
          </w:p>
        </w:tc>
      </w:tr>
      <w:tr>
        <w:tc>
          <w:tcPr>
            <w:tcW w:type="dxa" w:w="3600"/>
            <w:vAlign w:val="center"/>
          </w:tcPr>
          <w:p>
            <w:r>
              <w:rPr>
                <w:b w:val="false"/>
                <w:bCs w:val="false"/>
                <w:color w:val="000000"/>
                <w:sz w:val="20"/>
                <w:szCs w:val="20"/>
              </w:rPr>
              <w:t xml:space="preserve">Disinfectant Tank</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Stores sanitizer; refilled manually (see Section 9)</w:t>
            </w:r>
          </w:p>
        </w:tc>
      </w:tr>
      <w:tr>
        <w:tc>
          <w:tcPr>
            <w:tcW w:type="dxa" w:w="3600"/>
            <w:vAlign w:val="center"/>
          </w:tcPr>
          <w:p>
            <w:r>
              <w:rPr>
                <w:b w:val="false"/>
                <w:bCs w:val="false"/>
                <w:color w:val="000000"/>
                <w:sz w:val="20"/>
                <w:szCs w:val="20"/>
              </w:rPr>
              <w:t xml:space="preserve">Backup Water Reservoir</w:t>
            </w:r>
          </w:p>
        </w:tc>
        <w:tc>
          <w:tcPr>
            <w:tcW w:type="dxa" w:w="1400"/>
            <w:vAlign w:val="center"/>
          </w:tcPr>
          <w:p>
            <w:r>
              <w:rPr>
                <w:b w:val="false"/>
                <w:bCs w:val="false"/>
                <w:color w:val="000000"/>
                <w:sz w:val="20"/>
                <w:szCs w:val="20"/>
              </w:rPr>
              <w:t xml:space="preserve">1</w:t>
            </w:r>
          </w:p>
        </w:tc>
        <w:tc>
          <w:tcPr>
            <w:tcW w:type="dxa" w:w="4200"/>
            <w:vAlign w:val="center"/>
          </w:tcPr>
          <w:p>
            <w:r>
              <w:rPr>
                <w:b w:val="false"/>
                <w:bCs w:val="false"/>
                <w:color w:val="000000"/>
                <w:sz w:val="20"/>
                <w:szCs w:val="20"/>
              </w:rPr>
              <w:t xml:space="preserve">Feeds the refill pump; new in this revision</w:t>
            </w:r>
          </w:p>
        </w:tc>
      </w:tr>
      <w:tr>
        <w:tc>
          <w:tcPr>
            <w:tcW w:type="dxa" w:w="3600"/>
            <w:vAlign w:val="center"/>
          </w:tcPr>
          <w:p>
            <w:r>
              <w:rPr>
                <w:b w:val="false"/>
                <w:bCs w:val="false"/>
                <w:color w:val="000000"/>
                <w:sz w:val="20"/>
                <w:szCs w:val="20"/>
              </w:rPr>
              <w:t xml:space="preserve">Silicone Tubing</w:t>
            </w:r>
          </w:p>
        </w:tc>
        <w:tc>
          <w:tcPr>
            <w:tcW w:type="dxa" w:w="1400"/>
            <w:vAlign w:val="center"/>
          </w:tcPr>
          <w:p>
            <w:r>
              <w:rPr>
                <w:b w:val="false"/>
                <w:bCs w:val="false"/>
                <w:color w:val="000000"/>
                <w:sz w:val="20"/>
                <w:szCs w:val="20"/>
              </w:rPr>
              <w:t xml:space="preserve">As required</w:t>
            </w:r>
          </w:p>
        </w:tc>
        <w:tc>
          <w:tcPr>
            <w:tcW w:type="dxa" w:w="4200"/>
            <w:vAlign w:val="center"/>
          </w:tcPr>
          <w:p>
            <w:r>
              <w:rPr>
                <w:b w:val="false"/>
                <w:bCs w:val="false"/>
                <w:color w:val="000000"/>
                <w:sz w:val="20"/>
                <w:szCs w:val="20"/>
              </w:rPr>
              <w:t xml:space="preserve">Pump-to-nozzle and reservoir-to-tank connections</w:t>
            </w:r>
          </w:p>
        </w:tc>
      </w:tr>
      <w:tr>
        <w:tc>
          <w:tcPr>
            <w:tcW w:type="dxa" w:w="3600"/>
            <w:vAlign w:val="center"/>
          </w:tcPr>
          <w:p>
            <w:r>
              <w:rPr>
                <w:b w:val="false"/>
                <w:bCs w:val="false"/>
                <w:color w:val="000000"/>
                <w:sz w:val="20"/>
                <w:szCs w:val="20"/>
              </w:rPr>
              <w:t xml:space="preserve">Jumper Wires / Breadboard</w:t>
            </w:r>
          </w:p>
        </w:tc>
        <w:tc>
          <w:tcPr>
            <w:tcW w:type="dxa" w:w="1400"/>
            <w:vAlign w:val="center"/>
          </w:tcPr>
          <w:p>
            <w:r>
              <w:rPr>
                <w:b w:val="false"/>
                <w:bCs w:val="false"/>
                <w:color w:val="000000"/>
                <w:sz w:val="20"/>
                <w:szCs w:val="20"/>
              </w:rPr>
              <w:t xml:space="preserve">As required</w:t>
            </w:r>
          </w:p>
        </w:tc>
        <w:tc>
          <w:tcPr>
            <w:tcW w:type="dxa" w:w="4200"/>
            <w:vAlign w:val="center"/>
          </w:tcPr>
          <w:p>
            <w:r>
              <w:rPr>
                <w:b w:val="false"/>
                <w:bCs w:val="false"/>
                <w:color w:val="000000"/>
                <w:sz w:val="20"/>
                <w:szCs w:val="20"/>
              </w:rPr>
              <w:t xml:space="preserve">Prototype wiring</w:t>
            </w:r>
          </w:p>
        </w:tc>
      </w:tr>
    </w:tbl>
    <w:p>
      <w:pPr>
        <w:pStyle w:val="Heading1"/>
        <w:spacing w:after="150" w:before="300"/>
      </w:pPr>
      <w:r>
        <w:t xml:space="preserve">7. Hardware Architecture</w:t>
      </w:r>
    </w:p>
    <w:p>
      <w:pPr>
        <w:spacing w:after="120"/>
      </w:pPr>
      <w:r>
        <w:t xml:space="preserve">MQ135, HC-SR04, LD2410, and the IR sensor all feed into the ESP32. The ESP32 evaluates the occupancy-and-air-quality logic described in Section 9 and drives relay channel 1 (mist pump) and relay channel 2 (refill pump) independently. Streamlit reads sensor and actuator state over Wi-Fi; the OLED/LED status path is wired but only the LED is active in this phase.</w:t>
      </w:r>
    </w:p>
    <w:p>
      <w:pPr>
        <w:pStyle w:val="Heading1"/>
        <w:spacing w:after="150" w:before="300"/>
      </w:pPr>
      <w:r>
        <w:t xml:space="preserve">8. Sensor Placement</w:t>
      </w:r>
    </w:p>
    <w:p>
      <w:pPr>
        <w:pStyle w:val="Heading2"/>
        <w:spacing w:after="100" w:before="200"/>
      </w:pPr>
      <w:r>
        <w:t xml:space="preserve">LD2410 + IR (Occupancy)</w:t>
      </w:r>
    </w:p>
    <w:p>
      <w:pPr>
        <w:spacing w:after="120"/>
      </w:pPr>
      <w:r>
        <w:t xml:space="preserve">Both mounted on the washroom ceiling, aimed at the seat area. LD2410 (mmWave) detects a stationary occupant that the IR sensor can miss; IR is kept because it is cheap and adds a second, independent vote before the system treats the room as empty.</w:t>
      </w:r>
    </w:p>
    <w:p>
      <w:pPr>
        <w:pStyle w:val="Heading2"/>
        <w:spacing w:after="100" w:before="200"/>
      </w:pPr>
      <w:r>
        <w:t xml:space="preserve">MQ135</w:t>
      </w:r>
    </w:p>
    <w:p>
      <w:pPr>
        <w:spacing w:after="120"/>
      </w:pPr>
      <w:r>
        <w:t xml:space="preserve">Mounted near the ceiling. Detects ammonia, smoke, and general odor / poor air quality. Feeds the anomaly-detection model (Section 12) rather than a fixed hard threshold alone.</w:t>
      </w:r>
    </w:p>
    <w:p>
      <w:pPr>
        <w:pStyle w:val="Heading2"/>
        <w:spacing w:after="100" w:before="200"/>
      </w:pPr>
      <w:r>
        <w:t xml:space="preserve">HC-SR04</w:t>
      </w:r>
    </w:p>
    <w:p>
      <w:pPr>
        <w:spacing w:after="120"/>
      </w:pPr>
      <w:r>
        <w:t xml:space="preserve">Installed at the top of the primary (overhead) water tank. Measures available water level; below the low-water threshold, the refill pump (relay channel 2) is triggered automatically from the backup reservoir.</w:t>
      </w:r>
    </w:p>
    <w:p>
      <w:pPr>
        <w:pStyle w:val="Heading2"/>
        <w:spacing w:after="100" w:before="200"/>
      </w:pPr>
      <w:r>
        <w:t xml:space="preserve">Mist Nozzle</w:t>
      </w:r>
    </w:p>
    <w:p>
      <w:pPr>
        <w:spacing w:after="120"/>
      </w:pPr>
      <w:r>
        <w:t xml:space="preserve">Mounted above the toilet seat; sprays disinfectant per the logic in Section 9.</w:t>
      </w:r>
    </w:p>
    <w:p>
      <w:pPr>
        <w:pStyle w:val="Heading2"/>
        <w:spacing w:after="100" w:before="200"/>
      </w:pPr>
      <w:r>
        <w:t xml:space="preserve">OLED (Phase 2) / LED (now)</w:t>
      </w:r>
    </w:p>
    <w:p>
      <w:pPr>
        <w:spacing w:after="120"/>
      </w:pPr>
      <w:r>
        <w:t xml:space="preserve">OLED will mount outside the washroom once wired (Phase 2). Until then, the LED indicator gives a simple Occupied/Vacant signal to anyone approaching the washroom — the Streamlit dashboard is for monitoring/maintenance staff, not for someone standing at the door.</w:t>
      </w:r>
    </w:p>
    <w:p>
      <w:pPr>
        <w:pStyle w:val="Heading1"/>
        <w:spacing w:after="150" w:before="300"/>
      </w:pPr>
      <w:r>
        <w:t xml:space="preserve">9. Working Principle (updated)</w:t>
      </w:r>
    </w:p>
    <w:p>
      <w:pPr>
        <w:spacing w:after="120"/>
      </w:pPr>
      <w:r>
        <w:t xml:space="preserve">The original design triggered disinfection purely on air quality exceeding a threshold. Design review found this could fire while the washroom was occupied — clearly undesirable. The corrected logic is occupancy-first:</w:t>
      </w:r>
    </w:p>
    <w:p>
      <w:pPr>
        <w:pStyle w:val="ListParagraph"/>
        <w:numPr>
          <w:ilvl w:val="0"/>
          <w:numId w:val="1"/>
        </w:numPr>
        <w:spacing w:after="60"/>
      </w:pPr>
      <w:r>
        <w:t xml:space="preserve">If either occupancy sensor reads “occupied”, the mist pump is never triggered, regardless of air quality or elapsed time.</w:t>
      </w:r>
    </w:p>
    <w:p>
      <w:pPr>
        <w:pStyle w:val="ListParagraph"/>
        <w:numPr>
          <w:ilvl w:val="0"/>
          <w:numId w:val="1"/>
        </w:numPr>
        <w:spacing w:after="60"/>
      </w:pPr>
      <w:r>
        <w:t xml:space="preserve">When the washroom transitions from occupied to vacant, a baseline disinfection spray fires — this is the normal, expected case after every use.</w:t>
      </w:r>
    </w:p>
    <w:p>
      <w:pPr>
        <w:pStyle w:val="ListParagraph"/>
        <w:numPr>
          <w:ilvl w:val="0"/>
          <w:numId w:val="1"/>
        </w:numPr>
        <w:spacing w:after="60"/>
      </w:pPr>
      <w:r>
        <w:t xml:space="preserve">If air quality is still poor a short time after that spray (and the room is still vacant), up to two extra sprays are allowed.</w:t>
      </w:r>
    </w:p>
    <w:p>
      <w:pPr>
        <w:pStyle w:val="ListParagraph"/>
        <w:numPr>
          <w:ilvl w:val="0"/>
          <w:numId w:val="1"/>
        </w:numPr>
        <w:spacing w:after="60"/>
      </w:pPr>
      <w:r>
        <w:t xml:space="preserve">If air quality remains poor after those extra sprays, the system stops spraying and sets needs_manual_checkup = 1 instead of continuing to spray indefinitely — repeated ineffective spraying more likely indicates a sensor or ventilation fault than a dirty seat, and a person should look at it.</w:t>
      </w:r>
    </w:p>
    <w:p>
      <w:pPr>
        <w:pStyle w:val="ListParagraph"/>
        <w:numPr>
          <w:ilvl w:val="0"/>
          <w:numId w:val="1"/>
        </w:numPr>
        <w:spacing w:after="60"/>
      </w:pPr>
      <w:r>
        <w:t xml:space="preserve">If the washroom has simply not been used for a long stretch (default: 4 hours) with no exit event, a single idle-refresh spray fires — also only while vacant.</w:t>
      </w:r>
    </w:p>
    <w:p>
      <w:pPr>
        <w:pStyle w:val="ListParagraph"/>
        <w:numPr>
          <w:ilvl w:val="0"/>
          <w:numId w:val="1"/>
        </w:numPr>
        <w:spacing w:after="60"/>
      </w:pPr>
      <w:r>
        <w:t xml:space="preserve">Independently, water level and (virtually sensed) disinfectant level are monitored continuously; low water triggers the refill pump automatically, while low disinfectant raises a maintenance alert for manual top-up.</w:t>
      </w:r>
    </w:p>
    <w:p>
      <w:pPr>
        <w:pStyle w:val="Heading1"/>
        <w:spacing w:after="150" w:before="300"/>
      </w:pPr>
      <w:r>
        <w:t xml:space="preserve">10. System Flowchart</w:t>
      </w:r>
    </w:p>
    <w:p>
      <w:pPr>
        <w:spacing w:after="120"/>
      </w:pPr>
      <w:r>
        <w:t xml:space="preserve">Start → Initialize ESP32 → Read MQ135, HC-SR04, LD2410, IR → Is washroom occupied (either sensor)? → if YES: wait, no actuation → if NO: was it just vacated? → spray (baseline) → else, is air quality still poor and extra-spray budget remains? → spray (capped) → else, has it been idle 4h+? → spray (backstop) → update water/disinfectant estimates → trigger refill pump if water is low → raise alert if disinfectant is low → update dashboard → repeat.</w:t>
      </w:r>
    </w:p>
    <w:p>
      <w:pPr>
        <w:pStyle w:val="Heading1"/>
        <w:spacing w:after="150" w:before="300"/>
      </w:pPr>
      <w:r>
        <w:t xml:space="preserve">11. Interconnections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2F5496" w:val="clear"/>
            <w:vAlign w:val="center"/>
          </w:tcPr>
          <w:p>
            <w:r>
              <w:rPr>
                <w:b/>
                <w:bCs/>
                <w:color w:val="FFFFFF"/>
                <w:sz w:val="20"/>
                <w:szCs w:val="20"/>
              </w:rPr>
              <w:t xml:space="preserve">Signal</w:t>
            </w:r>
          </w:p>
        </w:tc>
        <w:tc>
          <w:tcPr>
            <w:tcW w:type="dxa" w:w="3800"/>
            <w:shd w:fill="2F5496" w:val="clear"/>
            <w:vAlign w:val="center"/>
          </w:tcPr>
          <w:p>
            <w:r>
              <w:rPr>
                <w:b/>
                <w:bCs/>
                <w:color w:val="FFFFFF"/>
                <w:sz w:val="20"/>
                <w:szCs w:val="20"/>
              </w:rPr>
              <w:t xml:space="preserve">ESP32 Pin</w:t>
            </w:r>
          </w:p>
        </w:tc>
      </w:tr>
      <w:tr>
        <w:tc>
          <w:tcPr>
            <w:tcW w:type="dxa" w:w="5200"/>
            <w:vAlign w:val="center"/>
          </w:tcPr>
          <w:p>
            <w:r>
              <w:rPr>
                <w:b w:val="false"/>
                <w:bCs w:val="false"/>
                <w:color w:val="000000"/>
                <w:sz w:val="20"/>
                <w:szCs w:val="20"/>
              </w:rPr>
              <w:t xml:space="preserve">OLED (I2C) — VCC / GND / SDA / SCL</w:t>
            </w:r>
          </w:p>
        </w:tc>
        <w:tc>
          <w:tcPr>
            <w:tcW w:type="dxa" w:w="3800"/>
            <w:vAlign w:val="center"/>
          </w:tcPr>
          <w:p>
            <w:r>
              <w:rPr>
                <w:b w:val="false"/>
                <w:bCs w:val="false"/>
                <w:color w:val="000000"/>
                <w:sz w:val="20"/>
                <w:szCs w:val="20"/>
              </w:rPr>
              <w:t xml:space="preserve">3.3V / GND / GPIO21 / GPIO22 (Phase 2)</w:t>
            </w:r>
          </w:p>
        </w:tc>
      </w:tr>
      <w:tr>
        <w:tc>
          <w:tcPr>
            <w:tcW w:type="dxa" w:w="5200"/>
            <w:vAlign w:val="center"/>
          </w:tcPr>
          <w:p>
            <w:r>
              <w:rPr>
                <w:b w:val="false"/>
                <w:bCs w:val="false"/>
                <w:color w:val="000000"/>
                <w:sz w:val="20"/>
                <w:szCs w:val="20"/>
              </w:rPr>
              <w:t xml:space="preserve">LED Indicator</w:t>
            </w:r>
          </w:p>
        </w:tc>
        <w:tc>
          <w:tcPr>
            <w:tcW w:type="dxa" w:w="3800"/>
            <w:vAlign w:val="center"/>
          </w:tcPr>
          <w:p>
            <w:r>
              <w:rPr>
                <w:b w:val="false"/>
                <w:bCs w:val="false"/>
                <w:color w:val="000000"/>
                <w:sz w:val="20"/>
                <w:szCs w:val="20"/>
              </w:rPr>
              <w:t xml:space="preserve">GPIO27 (active now)</w:t>
            </w:r>
          </w:p>
        </w:tc>
      </w:tr>
      <w:tr>
        <w:tc>
          <w:tcPr>
            <w:tcW w:type="dxa" w:w="5200"/>
            <w:vAlign w:val="center"/>
          </w:tcPr>
          <w:p>
            <w:r>
              <w:rPr>
                <w:b w:val="false"/>
                <w:bCs w:val="false"/>
                <w:color w:val="000000"/>
                <w:sz w:val="20"/>
                <w:szCs w:val="20"/>
              </w:rPr>
              <w:t xml:space="preserve">MQ135 — VCC / GND / AO</w:t>
            </w:r>
          </w:p>
        </w:tc>
        <w:tc>
          <w:tcPr>
            <w:tcW w:type="dxa" w:w="3800"/>
            <w:vAlign w:val="center"/>
          </w:tcPr>
          <w:p>
            <w:r>
              <w:rPr>
                <w:b w:val="false"/>
                <w:bCs w:val="false"/>
                <w:color w:val="000000"/>
                <w:sz w:val="20"/>
                <w:szCs w:val="20"/>
              </w:rPr>
              <w:t xml:space="preserve">5V (VIN) / GND / GPIO34</w:t>
            </w:r>
          </w:p>
        </w:tc>
      </w:tr>
      <w:tr>
        <w:tc>
          <w:tcPr>
            <w:tcW w:type="dxa" w:w="5200"/>
            <w:vAlign w:val="center"/>
          </w:tcPr>
          <w:p>
            <w:r>
              <w:rPr>
                <w:b w:val="false"/>
                <w:bCs w:val="false"/>
                <w:color w:val="000000"/>
                <w:sz w:val="20"/>
                <w:szCs w:val="20"/>
              </w:rPr>
              <w:t xml:space="preserve">HC-SR04 — VCC / GND / TRIG / ECHO</w:t>
            </w:r>
          </w:p>
        </w:tc>
        <w:tc>
          <w:tcPr>
            <w:tcW w:type="dxa" w:w="3800"/>
            <w:vAlign w:val="center"/>
          </w:tcPr>
          <w:p>
            <w:r>
              <w:rPr>
                <w:b w:val="false"/>
                <w:bCs w:val="false"/>
                <w:color w:val="000000"/>
                <w:sz w:val="20"/>
                <w:szCs w:val="20"/>
              </w:rPr>
              <w:t xml:space="preserve">VIN / GND / GPIO5 / GPIO18 (via voltage divider)</w:t>
            </w:r>
          </w:p>
        </w:tc>
      </w:tr>
      <w:tr>
        <w:tc>
          <w:tcPr>
            <w:tcW w:type="dxa" w:w="5200"/>
            <w:vAlign w:val="center"/>
          </w:tcPr>
          <w:p>
            <w:r>
              <w:rPr>
                <w:b w:val="false"/>
                <w:bCs w:val="false"/>
                <w:color w:val="000000"/>
                <w:sz w:val="20"/>
                <w:szCs w:val="20"/>
              </w:rPr>
              <w:t xml:space="preserve">LD2410 — VCC / GND / TX / RX</w:t>
            </w:r>
          </w:p>
        </w:tc>
        <w:tc>
          <w:tcPr>
            <w:tcW w:type="dxa" w:w="3800"/>
            <w:vAlign w:val="center"/>
          </w:tcPr>
          <w:p>
            <w:r>
              <w:rPr>
                <w:b w:val="false"/>
                <w:bCs w:val="false"/>
                <w:color w:val="000000"/>
                <w:sz w:val="20"/>
                <w:szCs w:val="20"/>
              </w:rPr>
              <w:t xml:space="preserve">5V / GND / GPIO16 / GPIO17</w:t>
            </w:r>
          </w:p>
        </w:tc>
      </w:tr>
      <w:tr>
        <w:tc>
          <w:tcPr>
            <w:tcW w:type="dxa" w:w="5200"/>
            <w:vAlign w:val="center"/>
          </w:tcPr>
          <w:p>
            <w:r>
              <w:rPr>
                <w:b w:val="false"/>
                <w:bCs w:val="false"/>
                <w:color w:val="000000"/>
                <w:sz w:val="20"/>
                <w:szCs w:val="20"/>
              </w:rPr>
              <w:t xml:space="preserve">IR / PIR sensor — VCC / GND / OUT</w:t>
            </w:r>
          </w:p>
        </w:tc>
        <w:tc>
          <w:tcPr>
            <w:tcW w:type="dxa" w:w="3800"/>
            <w:vAlign w:val="center"/>
          </w:tcPr>
          <w:p>
            <w:r>
              <w:rPr>
                <w:b w:val="false"/>
                <w:bCs w:val="false"/>
                <w:color w:val="000000"/>
                <w:sz w:val="20"/>
                <w:szCs w:val="20"/>
              </w:rPr>
              <w:t xml:space="preserve">3.3V / GND / GPIO4</w:t>
            </w:r>
          </w:p>
        </w:tc>
      </w:tr>
      <w:tr>
        <w:tc>
          <w:tcPr>
            <w:tcW w:type="dxa" w:w="5200"/>
            <w:vAlign w:val="center"/>
          </w:tcPr>
          <w:p>
            <w:r>
              <w:rPr>
                <w:b w:val="false"/>
                <w:bCs w:val="false"/>
                <w:color w:val="000000"/>
                <w:sz w:val="20"/>
                <w:szCs w:val="20"/>
              </w:rPr>
              <w:t xml:space="preserve">Relay CH1 (mist pump)</w:t>
            </w:r>
          </w:p>
        </w:tc>
        <w:tc>
          <w:tcPr>
            <w:tcW w:type="dxa" w:w="3800"/>
            <w:vAlign w:val="center"/>
          </w:tcPr>
          <w:p>
            <w:r>
              <w:rPr>
                <w:b w:val="false"/>
                <w:bCs w:val="false"/>
                <w:color w:val="000000"/>
                <w:sz w:val="20"/>
                <w:szCs w:val="20"/>
              </w:rPr>
              <w:t xml:space="preserve">GPIO26</w:t>
            </w:r>
          </w:p>
        </w:tc>
      </w:tr>
      <w:tr>
        <w:tc>
          <w:tcPr>
            <w:tcW w:type="dxa" w:w="5200"/>
            <w:vAlign w:val="center"/>
          </w:tcPr>
          <w:p>
            <w:r>
              <w:rPr>
                <w:b w:val="false"/>
                <w:bCs w:val="false"/>
                <w:color w:val="000000"/>
                <w:sz w:val="20"/>
                <w:szCs w:val="20"/>
              </w:rPr>
              <w:t xml:space="preserve">Relay CH2 (refill pump) — new</w:t>
            </w:r>
          </w:p>
        </w:tc>
        <w:tc>
          <w:tcPr>
            <w:tcW w:type="dxa" w:w="3800"/>
            <w:vAlign w:val="center"/>
          </w:tcPr>
          <w:p>
            <w:r>
              <w:rPr>
                <w:b w:val="false"/>
                <w:bCs w:val="false"/>
                <w:color w:val="000000"/>
                <w:sz w:val="20"/>
                <w:szCs w:val="20"/>
              </w:rPr>
              <w:t xml:space="preserve">GPIO25</w:t>
            </w:r>
          </w:p>
        </w:tc>
      </w:tr>
    </w:tbl>
    <w:p>
      <w:pPr>
        <w:pStyle w:val="Heading1"/>
        <w:spacing w:after="150" w:before="300"/>
      </w:pPr>
      <w:r>
        <w:t xml:space="preserve">12. Software Used</w:t>
      </w:r>
    </w:p>
    <w:p>
      <w:pPr>
        <w:pStyle w:val="ListParagraph"/>
        <w:numPr>
          <w:ilvl w:val="0"/>
          <w:numId w:val="1"/>
        </w:numPr>
        <w:spacing w:after="60"/>
      </w:pPr>
      <w:r>
        <w:t xml:space="preserve">Arduino IDE, ESP32 board package, Embedded C++</w:t>
      </w:r>
    </w:p>
    <w:p>
      <w:pPr>
        <w:pStyle w:val="ListParagraph"/>
        <w:numPr>
          <w:ilvl w:val="0"/>
          <w:numId w:val="1"/>
        </w:numPr>
        <w:spacing w:after="60"/>
      </w:pPr>
      <w:r>
        <w:t xml:space="preserve">OLED Library (Adafruit SSD1306) — Phase 2</w:t>
      </w:r>
    </w:p>
    <w:p>
      <w:pPr>
        <w:pStyle w:val="ListParagraph"/>
        <w:numPr>
          <w:ilvl w:val="0"/>
          <w:numId w:val="1"/>
        </w:numPr>
        <w:spacing w:after="60"/>
      </w:pPr>
      <w:r>
        <w:t xml:space="preserve">Wire library (I2C)</w:t>
      </w:r>
    </w:p>
    <w:p>
      <w:pPr>
        <w:pStyle w:val="ListParagraph"/>
        <w:numPr>
          <w:ilvl w:val="0"/>
          <w:numId w:val="1"/>
        </w:numPr>
        <w:spacing w:after="60"/>
      </w:pPr>
      <w:r>
        <w:t xml:space="preserve">Streamlit, Pandas, Plotly (dashboard — see the companion Features &amp; Workflow document)</w:t>
      </w:r>
    </w:p>
    <w:p>
      <w:pPr>
        <w:pStyle w:val="ListParagraph"/>
        <w:numPr>
          <w:ilvl w:val="0"/>
          <w:numId w:val="1"/>
        </w:numPr>
        <w:spacing w:after="60"/>
      </w:pPr>
      <w:r>
        <w:t xml:space="preserve">scikit-learn (Isolation Forest, regression models) for the ML layer</w:t>
      </w:r>
    </w:p>
    <w:p>
      <w:pPr>
        <w:pStyle w:val="Heading1"/>
        <w:spacing w:after="150" w:before="300"/>
      </w:pPr>
      <w:r>
        <w:t xml:space="preserve">13. Algorithm</w:t>
      </w:r>
    </w:p>
    <w:p>
      <w:pPr>
        <w:spacing w:after="80"/>
      </w:pPr>
      <w:r>
        <w:t xml:space="preserve">1. Initialize all sensors.</w:t>
      </w:r>
    </w:p>
    <w:p>
      <w:pPr>
        <w:spacing w:after="80"/>
      </w:pPr>
      <w:r>
        <w:t xml:space="preserve">2. Read MQ135, HC-SR04, LD2410, IR.</w:t>
      </w:r>
    </w:p>
    <w:p>
      <w:pPr>
        <w:spacing w:after="80"/>
      </w:pPr>
      <w:r>
        <w:t xml:space="preserve">3. Determine occupancy from LD2410 OR IR (either sensor “occupied” → treat as occupied).</w:t>
      </w:r>
    </w:p>
    <w:p>
      <w:pPr>
        <w:spacing w:after="80"/>
      </w:pPr>
      <w:r>
        <w:t xml:space="preserve">4. If occupied: take no disinfection action.</w:t>
      </w:r>
    </w:p>
    <w:p>
      <w:pPr>
        <w:spacing w:after="80"/>
      </w:pPr>
      <w:r>
        <w:t xml:space="preserve">5. If just vacated: trigger relay CH1 for 5–10 seconds (baseline spray).</w:t>
      </w:r>
    </w:p>
    <w:p>
      <w:pPr>
        <w:spacing w:after="80"/>
      </w:pPr>
      <w:r>
        <w:t xml:space="preserve">6. Else if air quality remains high and extra-spray budget remains: trigger a capped extra spray.</w:t>
      </w:r>
    </w:p>
    <w:p>
      <w:pPr>
        <w:spacing w:after="80"/>
      </w:pPr>
      <w:r>
        <w:t xml:space="preserve">7. Else if extra-spray budget is used up and air quality is still poor: stop spraying, set needs_manual_checkup = 1.</w:t>
      </w:r>
    </w:p>
    <w:p>
      <w:pPr>
        <w:spacing w:after="80"/>
      </w:pPr>
      <w:r>
        <w:t xml:space="preserve">8. Else if idle time exceeds 4 hours: trigger a single backstop spray.</w:t>
      </w:r>
    </w:p>
    <w:p>
      <w:pPr>
        <w:spacing w:after="80"/>
      </w:pPr>
      <w:r>
        <w:t xml:space="preserve">9. Independently: if water level is low, trigger relay CH2 (refill pump); if disinfectant level (virtually sensed) is low, raise a maintenance alert.</w:t>
      </w:r>
    </w:p>
    <w:p>
      <w:pPr>
        <w:spacing w:after="80"/>
      </w:pPr>
      <w:r>
        <w:t xml:space="preserve">10. Update Streamlit dashboard.</w:t>
      </w:r>
    </w:p>
    <w:p>
      <w:pPr>
        <w:spacing w:after="80"/>
      </w:pPr>
      <w:r>
        <w:t xml:space="preserve">11. Repeat continuously.</w:t>
      </w:r>
    </w:p>
    <w:p>
      <w:pPr>
        <w:pStyle w:val="Heading1"/>
        <w:spacing w:after="150" w:before="300"/>
      </w:pPr>
      <w:r>
        <w:t xml:space="preserve">14. Advantages</w:t>
      </w:r>
    </w:p>
    <w:p>
      <w:pPr>
        <w:pStyle w:val="ListParagraph"/>
        <w:numPr>
          <w:ilvl w:val="0"/>
          <w:numId w:val="1"/>
        </w:numPr>
        <w:spacing w:after="60"/>
      </w:pPr>
      <w:r>
        <w:t xml:space="preserve">Low-cost, retrofit-friendly — no reconstruction required</w:t>
      </w:r>
    </w:p>
    <w:p>
      <w:pPr>
        <w:pStyle w:val="ListParagraph"/>
        <w:numPr>
          <w:ilvl w:val="0"/>
          <w:numId w:val="1"/>
        </w:numPr>
        <w:spacing w:after="60"/>
      </w:pPr>
      <w:r>
        <w:t xml:space="preserve">Occupancy-aware: never disinfects on top of a user</w:t>
      </w:r>
    </w:p>
    <w:p>
      <w:pPr>
        <w:pStyle w:val="ListParagraph"/>
        <w:numPr>
          <w:ilvl w:val="0"/>
          <w:numId w:val="1"/>
        </w:numPr>
        <w:spacing w:after="60"/>
      </w:pPr>
      <w:r>
        <w:t xml:space="preserve">Dual occupancy sensing catches a stationary user that IR alone would miss</w:t>
      </w:r>
    </w:p>
    <w:p>
      <w:pPr>
        <w:pStyle w:val="ListParagraph"/>
        <w:numPr>
          <w:ilvl w:val="0"/>
          <w:numId w:val="1"/>
        </w:numPr>
        <w:spacing w:after="60"/>
      </w:pPr>
      <w:r>
        <w:t xml:space="preserve">Automatic water refill from a backup reservoir using previously idle hardware</w:t>
      </w:r>
    </w:p>
    <w:p>
      <w:pPr>
        <w:pStyle w:val="ListParagraph"/>
        <w:numPr>
          <w:ilvl w:val="0"/>
          <w:numId w:val="1"/>
        </w:numPr>
        <w:spacing w:after="60"/>
      </w:pPr>
      <w:r>
        <w:t xml:space="preserve">Disinfectant level estimated without a second physical tank sensor (virtual sensing)</w:t>
      </w:r>
    </w:p>
    <w:p>
      <w:pPr>
        <w:pStyle w:val="ListParagraph"/>
        <w:numPr>
          <w:ilvl w:val="0"/>
          <w:numId w:val="1"/>
        </w:numPr>
        <w:spacing w:after="60"/>
      </w:pPr>
      <w:r>
        <w:t xml:space="preserve">Reduced manpower, improved public health, energy efficient</w:t>
      </w:r>
    </w:p>
    <w:p>
      <w:pPr>
        <w:pStyle w:val="ListParagraph"/>
        <w:numPr>
          <w:ilvl w:val="0"/>
          <w:numId w:val="1"/>
        </w:numPr>
        <w:spacing w:after="60"/>
      </w:pPr>
      <w:r>
        <w:t xml:space="preserve">Scalable to Smart City deployments</w:t>
      </w:r>
    </w:p>
    <w:p>
      <w:pPr>
        <w:pStyle w:val="Heading1"/>
        <w:spacing w:after="150" w:before="300"/>
      </w:pPr>
      <w:r>
        <w:t xml:space="preserve">15. Applications</w:t>
      </w:r>
    </w:p>
    <w:p>
      <w:pPr>
        <w:pStyle w:val="ListParagraph"/>
        <w:numPr>
          <w:ilvl w:val="0"/>
          <w:numId w:val="1"/>
        </w:numPr>
        <w:spacing w:after="60"/>
      </w:pPr>
      <w:r>
        <w:t xml:space="preserve">Railway Stations</w:t>
      </w:r>
    </w:p>
    <w:p>
      <w:pPr>
        <w:pStyle w:val="ListParagraph"/>
        <w:numPr>
          <w:ilvl w:val="0"/>
          <w:numId w:val="1"/>
        </w:numPr>
        <w:spacing w:after="60"/>
      </w:pPr>
      <w:r>
        <w:t xml:space="preserve">Bus Stations</w:t>
      </w:r>
    </w:p>
    <w:p>
      <w:pPr>
        <w:pStyle w:val="ListParagraph"/>
        <w:numPr>
          <w:ilvl w:val="0"/>
          <w:numId w:val="1"/>
        </w:numPr>
        <w:spacing w:after="60"/>
      </w:pPr>
      <w:r>
        <w:t xml:space="preserve">Airports</w:t>
      </w:r>
    </w:p>
    <w:p>
      <w:pPr>
        <w:pStyle w:val="ListParagraph"/>
        <w:numPr>
          <w:ilvl w:val="0"/>
          <w:numId w:val="1"/>
        </w:numPr>
        <w:spacing w:after="60"/>
      </w:pPr>
      <w:r>
        <w:t xml:space="preserve">Shopping Malls</w:t>
      </w:r>
    </w:p>
    <w:p>
      <w:pPr>
        <w:pStyle w:val="ListParagraph"/>
        <w:numPr>
          <w:ilvl w:val="0"/>
          <w:numId w:val="1"/>
        </w:numPr>
        <w:spacing w:after="60"/>
      </w:pPr>
      <w:r>
        <w:t xml:space="preserve">Colleges and Schools</w:t>
      </w:r>
    </w:p>
    <w:p>
      <w:pPr>
        <w:pStyle w:val="ListParagraph"/>
        <w:numPr>
          <w:ilvl w:val="0"/>
          <w:numId w:val="1"/>
        </w:numPr>
        <w:spacing w:after="60"/>
      </w:pPr>
      <w:r>
        <w:t xml:space="preserve">Hospitals</w:t>
      </w:r>
    </w:p>
    <w:p>
      <w:pPr>
        <w:pStyle w:val="ListParagraph"/>
        <w:numPr>
          <w:ilvl w:val="0"/>
          <w:numId w:val="1"/>
        </w:numPr>
        <w:spacing w:after="60"/>
      </w:pPr>
      <w:r>
        <w:t xml:space="preserve">Government Offices</w:t>
      </w:r>
    </w:p>
    <w:p>
      <w:pPr>
        <w:pStyle w:val="ListParagraph"/>
        <w:numPr>
          <w:ilvl w:val="0"/>
          <w:numId w:val="1"/>
        </w:numPr>
        <w:spacing w:after="60"/>
      </w:pPr>
      <w:r>
        <w:t xml:space="preserve">Metro Stations</w:t>
      </w:r>
    </w:p>
    <w:p>
      <w:pPr>
        <w:pStyle w:val="ListParagraph"/>
        <w:numPr>
          <w:ilvl w:val="0"/>
          <w:numId w:val="1"/>
        </w:numPr>
        <w:spacing w:after="60"/>
      </w:pPr>
      <w:r>
        <w:t xml:space="preserve">Public Toilets</w:t>
      </w:r>
    </w:p>
    <w:p>
      <w:pPr>
        <w:pStyle w:val="Heading1"/>
        <w:spacing w:after="150" w:before="300"/>
      </w:pPr>
      <w:r>
        <w:t xml:space="preserve">16. Future Scope</w:t>
      </w:r>
    </w:p>
    <w:p>
      <w:pPr>
        <w:pStyle w:val="ListParagraph"/>
        <w:numPr>
          <w:ilvl w:val="0"/>
          <w:numId w:val="1"/>
        </w:numPr>
        <w:spacing w:after="60"/>
      </w:pPr>
      <w:r>
        <w:t xml:space="preserve">Automatic (metered) disinfectant refill from a concentrate reservoir, if the team wants to remove the manual top-up step later</w:t>
      </w:r>
    </w:p>
    <w:p>
      <w:pPr>
        <w:pStyle w:val="ListParagraph"/>
        <w:numPr>
          <w:ilvl w:val="0"/>
          <w:numId w:val="1"/>
        </w:numPr>
        <w:spacing w:after="60"/>
      </w:pPr>
      <w:r>
        <w:t xml:space="preserve">Feed needs_manual_checkup events into the anomaly-detection model (Feature 1) as labelled examples, so the model eventually learns to predict a likely fault before the 2-spray cap is even reached</w:t>
      </w:r>
    </w:p>
    <w:p>
      <w:pPr>
        <w:pStyle w:val="ListParagraph"/>
        <w:numPr>
          <w:ilvl w:val="0"/>
          <w:numId w:val="1"/>
        </w:numPr>
        <w:spacing w:after="60"/>
      </w:pPr>
      <w:r>
        <w:t xml:space="preserve">AI-based cleanliness scoring using privacy-preserving cameras</w:t>
      </w:r>
    </w:p>
    <w:p>
      <w:pPr>
        <w:pStyle w:val="ListParagraph"/>
        <w:numPr>
          <w:ilvl w:val="0"/>
          <w:numId w:val="1"/>
        </w:numPr>
        <w:spacing w:after="60"/>
      </w:pPr>
      <w:r>
        <w:t xml:space="preserve">Cloud dashboard and mobile app for maintenance staff</w:t>
      </w:r>
    </w:p>
    <w:p>
      <w:pPr>
        <w:pStyle w:val="ListParagraph"/>
        <w:numPr>
          <w:ilvl w:val="0"/>
          <w:numId w:val="1"/>
        </w:numPr>
        <w:spacing w:after="60"/>
      </w:pPr>
      <w:r>
        <w:t xml:space="preserve">SMS/WhatsApp low-disinfectant alerts</w:t>
      </w:r>
    </w:p>
    <w:p>
      <w:pPr>
        <w:pStyle w:val="ListParagraph"/>
        <w:numPr>
          <w:ilvl w:val="0"/>
          <w:numId w:val="1"/>
        </w:numPr>
        <w:spacing w:after="60"/>
      </w:pPr>
      <w:r>
        <w:t xml:space="preserve">CO₂ and ammonia-specific sensors for better-calibrated air quality readings</w:t>
      </w:r>
    </w:p>
    <w:p>
      <w:pPr>
        <w:pStyle w:val="ListParagraph"/>
        <w:numPr>
          <w:ilvl w:val="0"/>
          <w:numId w:val="1"/>
        </w:numPr>
        <w:spacing w:after="60"/>
      </w:pPr>
      <w:r>
        <w:t xml:space="preserve">Solar-powered operation</w:t>
      </w:r>
    </w:p>
    <w:p>
      <w:pPr>
        <w:pStyle w:val="ListParagraph"/>
        <w:numPr>
          <w:ilvl w:val="0"/>
          <w:numId w:val="1"/>
        </w:numPr>
        <w:spacing w:after="60"/>
      </w:pPr>
      <w:r>
        <w:t xml:space="preserve">Smart City infrastructure integration</w:t>
      </w:r>
    </w:p>
    <w:p>
      <w:pPr>
        <w:pStyle w:val="Heading1"/>
        <w:spacing w:after="150" w:before="300"/>
      </w:pPr>
      <w:r>
        <w:t xml:space="preserve">17. Estimated Cost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2F5496" w:val="clear"/>
            <w:vAlign w:val="center"/>
          </w:tcPr>
          <w:p>
            <w:r>
              <w:rPr>
                <w:b/>
                <w:bCs/>
                <w:color w:val="FFFFFF"/>
                <w:sz w:val="20"/>
                <w:szCs w:val="20"/>
              </w:rPr>
              <w:t xml:space="preserve">Component</w:t>
            </w:r>
          </w:p>
        </w:tc>
        <w:tc>
          <w:tcPr>
            <w:tcW w:type="dxa" w:w="3200"/>
            <w:shd w:fill="2F5496" w:val="clear"/>
            <w:vAlign w:val="center"/>
          </w:tcPr>
          <w:p>
            <w:r>
              <w:rPr>
                <w:b/>
                <w:bCs/>
                <w:color w:val="FFFFFF"/>
                <w:sz w:val="20"/>
                <w:szCs w:val="20"/>
              </w:rPr>
              <w:t xml:space="preserve">Approx. Cost (₹)</w:t>
            </w:r>
          </w:p>
        </w:tc>
      </w:tr>
      <w:tr>
        <w:tc>
          <w:tcPr>
            <w:tcW w:type="dxa" w:w="6200"/>
            <w:vAlign w:val="center"/>
          </w:tcPr>
          <w:p>
            <w:r>
              <w:rPr>
                <w:b w:val="false"/>
                <w:bCs w:val="false"/>
                <w:color w:val="000000"/>
                <w:sz w:val="20"/>
                <w:szCs w:val="20"/>
              </w:rPr>
              <w:t xml:space="preserve">ESP32</w:t>
            </w:r>
          </w:p>
        </w:tc>
        <w:tc>
          <w:tcPr>
            <w:tcW w:type="dxa" w:w="3200"/>
            <w:vAlign w:val="center"/>
          </w:tcPr>
          <w:p>
            <w:r>
              <w:rPr>
                <w:b w:val="false"/>
                <w:bCs w:val="false"/>
                <w:color w:val="000000"/>
                <w:sz w:val="20"/>
                <w:szCs w:val="20"/>
              </w:rPr>
              <w:t xml:space="preserve">450</w:t>
            </w:r>
          </w:p>
        </w:tc>
      </w:tr>
      <w:tr>
        <w:tc>
          <w:tcPr>
            <w:tcW w:type="dxa" w:w="6200"/>
            <w:vAlign w:val="center"/>
          </w:tcPr>
          <w:p>
            <w:r>
              <w:rPr>
                <w:b w:val="false"/>
                <w:bCs w:val="false"/>
                <w:color w:val="000000"/>
                <w:sz w:val="20"/>
                <w:szCs w:val="20"/>
              </w:rPr>
              <w:t xml:space="preserve">MQ135</w:t>
            </w:r>
          </w:p>
        </w:tc>
        <w:tc>
          <w:tcPr>
            <w:tcW w:type="dxa" w:w="3200"/>
            <w:vAlign w:val="center"/>
          </w:tcPr>
          <w:p>
            <w:r>
              <w:rPr>
                <w:b w:val="false"/>
                <w:bCs w:val="false"/>
                <w:color w:val="000000"/>
                <w:sz w:val="20"/>
                <w:szCs w:val="20"/>
              </w:rPr>
              <w:t xml:space="preserve">180</w:t>
            </w:r>
          </w:p>
        </w:tc>
      </w:tr>
      <w:tr>
        <w:tc>
          <w:tcPr>
            <w:tcW w:type="dxa" w:w="6200"/>
            <w:vAlign w:val="center"/>
          </w:tcPr>
          <w:p>
            <w:r>
              <w:rPr>
                <w:b w:val="false"/>
                <w:bCs w:val="false"/>
                <w:color w:val="000000"/>
                <w:sz w:val="20"/>
                <w:szCs w:val="20"/>
              </w:rPr>
              <w:t xml:space="preserve">HC-SR04</w:t>
            </w:r>
          </w:p>
        </w:tc>
        <w:tc>
          <w:tcPr>
            <w:tcW w:type="dxa" w:w="3200"/>
            <w:vAlign w:val="center"/>
          </w:tcPr>
          <w:p>
            <w:r>
              <w:rPr>
                <w:b w:val="false"/>
                <w:bCs w:val="false"/>
                <w:color w:val="000000"/>
                <w:sz w:val="20"/>
                <w:szCs w:val="20"/>
              </w:rPr>
              <w:t xml:space="preserve">90</w:t>
            </w:r>
          </w:p>
        </w:tc>
      </w:tr>
      <w:tr>
        <w:tc>
          <w:tcPr>
            <w:tcW w:type="dxa" w:w="6200"/>
            <w:vAlign w:val="center"/>
          </w:tcPr>
          <w:p>
            <w:r>
              <w:rPr>
                <w:b w:val="false"/>
                <w:bCs w:val="false"/>
                <w:color w:val="000000"/>
                <w:sz w:val="20"/>
                <w:szCs w:val="20"/>
              </w:rPr>
              <w:t xml:space="preserve">LD2410</w:t>
            </w:r>
          </w:p>
        </w:tc>
        <w:tc>
          <w:tcPr>
            <w:tcW w:type="dxa" w:w="3200"/>
            <w:vAlign w:val="center"/>
          </w:tcPr>
          <w:p>
            <w:r>
              <w:rPr>
                <w:b w:val="false"/>
                <w:bCs w:val="false"/>
                <w:color w:val="000000"/>
                <w:sz w:val="20"/>
                <w:szCs w:val="20"/>
              </w:rPr>
              <w:t xml:space="preserve">650</w:t>
            </w:r>
          </w:p>
        </w:tc>
      </w:tr>
      <w:tr>
        <w:tc>
          <w:tcPr>
            <w:tcW w:type="dxa" w:w="6200"/>
            <w:vAlign w:val="center"/>
          </w:tcPr>
          <w:p>
            <w:r>
              <w:rPr>
                <w:b w:val="false"/>
                <w:bCs w:val="false"/>
                <w:color w:val="000000"/>
                <w:sz w:val="20"/>
                <w:szCs w:val="20"/>
              </w:rPr>
              <w:t xml:space="preserve">IR / PIR sensor</w:t>
            </w:r>
          </w:p>
        </w:tc>
        <w:tc>
          <w:tcPr>
            <w:tcW w:type="dxa" w:w="3200"/>
            <w:vAlign w:val="center"/>
          </w:tcPr>
          <w:p>
            <w:r>
              <w:rPr>
                <w:b w:val="false"/>
                <w:bCs w:val="false"/>
                <w:color w:val="000000"/>
                <w:sz w:val="20"/>
                <w:szCs w:val="20"/>
              </w:rPr>
              <w:t xml:space="preserve">60</w:t>
            </w:r>
          </w:p>
        </w:tc>
      </w:tr>
      <w:tr>
        <w:tc>
          <w:tcPr>
            <w:tcW w:type="dxa" w:w="6200"/>
            <w:vAlign w:val="center"/>
          </w:tcPr>
          <w:p>
            <w:r>
              <w:rPr>
                <w:b w:val="false"/>
                <w:bCs w:val="false"/>
                <w:color w:val="000000"/>
                <w:sz w:val="20"/>
                <w:szCs w:val="20"/>
              </w:rPr>
              <w:t xml:space="preserve">4-Channel Relay Module</w:t>
            </w:r>
          </w:p>
        </w:tc>
        <w:tc>
          <w:tcPr>
            <w:tcW w:type="dxa" w:w="3200"/>
            <w:vAlign w:val="center"/>
          </w:tcPr>
          <w:p>
            <w:r>
              <w:rPr>
                <w:b w:val="false"/>
                <w:bCs w:val="false"/>
                <w:color w:val="000000"/>
                <w:sz w:val="20"/>
                <w:szCs w:val="20"/>
              </w:rPr>
              <w:t xml:space="preserve">180</w:t>
            </w:r>
          </w:p>
        </w:tc>
      </w:tr>
      <w:tr>
        <w:tc>
          <w:tcPr>
            <w:tcW w:type="dxa" w:w="6200"/>
            <w:vAlign w:val="center"/>
          </w:tcPr>
          <w:p>
            <w:r>
              <w:rPr>
                <w:b w:val="false"/>
                <w:bCs w:val="false"/>
                <w:color w:val="000000"/>
                <w:sz w:val="20"/>
                <w:szCs w:val="20"/>
              </w:rPr>
              <w:t xml:space="preserve">12V Pump (spray) — already owned</w:t>
            </w:r>
          </w:p>
        </w:tc>
        <w:tc>
          <w:tcPr>
            <w:tcW w:type="dxa" w:w="3200"/>
            <w:vAlign w:val="center"/>
          </w:tcPr>
          <w:p>
            <w:r>
              <w:rPr>
                <w:b w:val="false"/>
                <w:bCs w:val="false"/>
                <w:color w:val="000000"/>
                <w:sz w:val="20"/>
                <w:szCs w:val="20"/>
              </w:rPr>
              <w:t xml:space="preserve">0 (existing)</w:t>
            </w:r>
          </w:p>
        </w:tc>
      </w:tr>
      <w:tr>
        <w:tc>
          <w:tcPr>
            <w:tcW w:type="dxa" w:w="6200"/>
            <w:vAlign w:val="center"/>
          </w:tcPr>
          <w:p>
            <w:r>
              <w:rPr>
                <w:b w:val="false"/>
                <w:bCs w:val="false"/>
                <w:color w:val="000000"/>
                <w:sz w:val="20"/>
                <w:szCs w:val="20"/>
              </w:rPr>
              <w:t xml:space="preserve">12V Pump (refill) — already owned</w:t>
            </w:r>
          </w:p>
        </w:tc>
        <w:tc>
          <w:tcPr>
            <w:tcW w:type="dxa" w:w="3200"/>
            <w:vAlign w:val="center"/>
          </w:tcPr>
          <w:p>
            <w:r>
              <w:rPr>
                <w:b w:val="false"/>
                <w:bCs w:val="false"/>
                <w:color w:val="000000"/>
                <w:sz w:val="20"/>
                <w:szCs w:val="20"/>
              </w:rPr>
              <w:t xml:space="preserve">0 (existing)</w:t>
            </w:r>
          </w:p>
        </w:tc>
      </w:tr>
      <w:tr>
        <w:tc>
          <w:tcPr>
            <w:tcW w:type="dxa" w:w="6200"/>
            <w:vAlign w:val="center"/>
          </w:tcPr>
          <w:p>
            <w:r>
              <w:rPr>
                <w:b w:val="false"/>
                <w:bCs w:val="false"/>
                <w:color w:val="000000"/>
                <w:sz w:val="20"/>
                <w:szCs w:val="20"/>
              </w:rPr>
              <w:t xml:space="preserve">Backup reservoir + extra tubing</w:t>
            </w:r>
          </w:p>
        </w:tc>
        <w:tc>
          <w:tcPr>
            <w:tcW w:type="dxa" w:w="3200"/>
            <w:vAlign w:val="center"/>
          </w:tcPr>
          <w:p>
            <w:r>
              <w:rPr>
                <w:b w:val="false"/>
                <w:bCs w:val="false"/>
                <w:color w:val="000000"/>
                <w:sz w:val="20"/>
                <w:szCs w:val="20"/>
              </w:rPr>
              <w:t xml:space="preserve">250</w:t>
            </w:r>
          </w:p>
        </w:tc>
      </w:tr>
      <w:tr>
        <w:tc>
          <w:tcPr>
            <w:tcW w:type="dxa" w:w="6200"/>
            <w:vAlign w:val="center"/>
          </w:tcPr>
          <w:p>
            <w:r>
              <w:rPr>
                <w:b w:val="false"/>
                <w:bCs w:val="false"/>
                <w:color w:val="000000"/>
                <w:sz w:val="20"/>
                <w:szCs w:val="20"/>
              </w:rPr>
              <w:t xml:space="preserve">Mist Nozzle</w:t>
            </w:r>
          </w:p>
        </w:tc>
        <w:tc>
          <w:tcPr>
            <w:tcW w:type="dxa" w:w="3200"/>
            <w:vAlign w:val="center"/>
          </w:tcPr>
          <w:p>
            <w:r>
              <w:rPr>
                <w:b w:val="false"/>
                <w:bCs w:val="false"/>
                <w:color w:val="000000"/>
                <w:sz w:val="20"/>
                <w:szCs w:val="20"/>
              </w:rPr>
              <w:t xml:space="preserve">120</w:t>
            </w:r>
          </w:p>
        </w:tc>
      </w:tr>
      <w:tr>
        <w:tc>
          <w:tcPr>
            <w:tcW w:type="dxa" w:w="6200"/>
            <w:vAlign w:val="center"/>
          </w:tcPr>
          <w:p>
            <w:r>
              <w:rPr>
                <w:b w:val="false"/>
                <w:bCs w:val="false"/>
                <w:color w:val="000000"/>
                <w:sz w:val="20"/>
                <w:szCs w:val="20"/>
              </w:rPr>
              <w:t xml:space="preserve">LED Indicator</w:t>
            </w:r>
          </w:p>
        </w:tc>
        <w:tc>
          <w:tcPr>
            <w:tcW w:type="dxa" w:w="3200"/>
            <w:vAlign w:val="center"/>
          </w:tcPr>
          <w:p>
            <w:r>
              <w:rPr>
                <w:b w:val="false"/>
                <w:bCs w:val="false"/>
                <w:color w:val="000000"/>
                <w:sz w:val="20"/>
                <w:szCs w:val="20"/>
              </w:rPr>
              <w:t xml:space="preserve">20</w:t>
            </w:r>
          </w:p>
        </w:tc>
      </w:tr>
      <w:tr>
        <w:tc>
          <w:tcPr>
            <w:tcW w:type="dxa" w:w="6200"/>
            <w:vAlign w:val="center"/>
          </w:tcPr>
          <w:p>
            <w:r>
              <w:rPr>
                <w:b w:val="false"/>
                <w:bCs w:val="false"/>
                <w:color w:val="000000"/>
                <w:sz w:val="20"/>
                <w:szCs w:val="20"/>
              </w:rPr>
              <w:t xml:space="preserve">Miscellaneous</w:t>
            </w:r>
          </w:p>
        </w:tc>
        <w:tc>
          <w:tcPr>
            <w:tcW w:type="dxa" w:w="3200"/>
            <w:vAlign w:val="center"/>
          </w:tcPr>
          <w:p>
            <w:r>
              <w:rPr>
                <w:b w:val="false"/>
                <w:bCs w:val="false"/>
                <w:color w:val="000000"/>
                <w:sz w:val="20"/>
                <w:szCs w:val="20"/>
              </w:rPr>
              <w:t xml:space="preserve">300</w:t>
            </w:r>
          </w:p>
        </w:tc>
      </w:tr>
      <w:tr>
        <w:tc>
          <w:tcPr>
            <w:tcW w:type="dxa" w:w="6200"/>
            <w:vAlign w:val="center"/>
          </w:tcPr>
          <w:p>
            <w:r>
              <w:rPr>
                <w:b w:val="false"/>
                <w:bCs w:val="false"/>
                <w:color w:val="000000"/>
                <w:sz w:val="20"/>
                <w:szCs w:val="20"/>
              </w:rPr>
              <w:t xml:space="preserve">Total</w:t>
            </w:r>
          </w:p>
        </w:tc>
        <w:tc>
          <w:tcPr>
            <w:tcW w:type="dxa" w:w="3200"/>
            <w:vAlign w:val="center"/>
          </w:tcPr>
          <w:p>
            <w:r>
              <w:rPr>
                <w:b w:val="false"/>
                <w:bCs w:val="false"/>
                <w:color w:val="000000"/>
                <w:sz w:val="20"/>
                <w:szCs w:val="20"/>
              </w:rPr>
              <w:t xml:space="preserve">≈ ₹2,300–2,600 (lower than the original estimate — both pumps were already available)</w:t>
            </w:r>
          </w:p>
        </w:tc>
      </w:tr>
    </w:tbl>
    <w:p>
      <w:pPr>
        <w:pStyle w:val="Heading1"/>
        <w:spacing w:after="150" w:before="300"/>
      </w:pPr>
      <w:r>
        <w:t xml:space="preserve">18. Conclusion</w:t>
      </w:r>
    </w:p>
    <w:p>
      <w:pPr>
        <w:spacing w:after="120"/>
      </w:pPr>
      <w:r>
        <w:t xml:space="preserve">The revised Smart Washroom system keeps the original goal — an economical, retrofit-friendly hygiene box — while fixing a real safety gap (disinfecting while occupied) and giving both idle pumps a clear, documented purpose. Water refill is now fully automatic; disinfectant refill is intentionally kept manual for now, which is simpler and safer than an unattended concentrate-mixing system. The dual occupancy sensors, the capped disinfection logic, and the virtual sensing of disinfectant level together form the technical core of the system.</w:t>
      </w:r>
    </w:p>
    <w:p>
      <w:pPr>
        <w:pStyle w:val="Heading1"/>
        <w:spacing w:after="150" w:before="300"/>
      </w:pPr>
      <w:r>
        <w:t xml:space="preserve">19. Suggested Novelty (Patent / Publication Angle)</w:t>
      </w:r>
    </w:p>
    <w:p>
      <w:pPr>
        <w:spacing w:after="120"/>
      </w:pPr>
      <w:r>
        <w:t xml:space="preserve">The strongest, most defensible novelty claim is not “a box that monitors a washroom” — similar retrofit hygiene monitors already exist and are published. The differentiated contribution is:</w:t>
      </w:r>
    </w:p>
    <w:p>
      <w:pPr>
        <w:spacing w:after="120"/>
      </w:pPr>
      <w:r>
        <w:t xml:space="preserve">A method for estimating the remaining level of a consumable (disinfectant) that has no dedicated physical sensor, by fusing indirect, already-available signals (spray events, timing, occupancy, and usage history) through a trained model, and using that estimate to control a physical actuator (a maintenance alert, or in a future revision, an automatic metered refill) — rather than simply predicting a number.</w:t>
      </w:r>
    </w:p>
    <w:p>
      <w:pPr>
        <w:spacing w:after="120"/>
      </w:pPr>
      <w:r>
        <w:t xml:space="preserve">This framing ties the ML output to a genuine technical effect (actuator control / reduced sensor cost), which matters both for the paper's contribution and for patent-eligibility discussions.</w:t>
      </w:r>
    </w:p>
    <w:p>
      <w:pPr>
        <w:pStyle w:val="Heading1"/>
        <w:spacing w:after="150" w:before="300"/>
      </w:pPr>
      <w:r>
        <w:t xml:space="preserve">20. Open Items — Needs a Team Decision or Real-World Validation</w:t>
      </w:r>
    </w:p>
    <w:p>
      <w:pPr>
        <w:shd w:fill="FFF4E5" w:val="clear"/>
        <w:spacing w:after="150" w:before="100"/>
      </w:pPr>
      <w:r>
        <w:rPr>
          <w:b/>
          <w:bCs/>
          <w:color w:val="9C5700"/>
        </w:rPr>
        <w:t xml:space="preserve">Note: </w:t>
      </w:r>
      <w:r>
        <w:rPr>
          <w:i/>
          <w:iCs/>
          <w:color w:val="9C5700"/>
        </w:rPr>
        <w:t xml:space="preserve">Everything below is flagged, not decided. These are places where a reasonable default was chosen so work could continue, and the team should confirm or change them.</w:t>
      </w:r>
    </w:p>
    <w:p>
      <w:pPr>
        <w:pStyle w:val="ListParagraph"/>
        <w:numPr>
          <w:ilvl w:val="0"/>
          <w:numId w:val="1"/>
        </w:numPr>
        <w:spacing w:after="60"/>
      </w:pPr>
      <w:r>
        <w:t xml:space="preserve">Cooldown/threshold constants (250 ppm, 15-minute extra-spray cooldown, 2-spray cap, 4-hour idle backstop) are placeholder defaults, not measured values — revisit once real MQ135 readings exist.</w:t>
      </w:r>
    </w:p>
    <w:p>
      <w:pPr>
        <w:pStyle w:val="ListParagraph"/>
        <w:numPr>
          <w:ilvl w:val="0"/>
          <w:numId w:val="1"/>
        </w:numPr>
        <w:spacing w:after="60"/>
      </w:pPr>
      <w:r>
        <w:t xml:space="preserve">The synthetic dataset now models 4 hypothetical cubicles with different traffic patterns for training a more general model; the physical prototype being built is a single unit — keep this distinction explicit in any report or paper.</w:t>
      </w:r>
    </w:p>
    <w:p>
      <w:pPr>
        <w:pStyle w:val="ListParagraph"/>
        <w:numPr>
          <w:ilvl w:val="0"/>
          <w:numId w:val="1"/>
        </w:numPr>
        <w:spacing w:after="60"/>
      </w:pPr>
      <w:r>
        <w:t xml:space="preserve">Disinfectant refill stays a manual, staff-alerted process (confirmed by the team) rather than an automatic metered system — the water pump is dedicated to auto-refilling the water tank only.</w:t>
      </w:r>
    </w:p>
    <w:p>
      <w:pPr>
        <w:pStyle w:val="ListParagraph"/>
        <w:numPr>
          <w:ilvl w:val="0"/>
          <w:numId w:val="1"/>
        </w:numPr>
        <w:spacing w:after="60"/>
      </w:pPr>
      <w:r>
        <w:t xml:space="preserve">needs_manual_checkup now fires roughly 1.5–2.3 times/day per cubicle (about 6–8% of the time) after the fault bar was raised (a strict &gt;250ppm cap triggered it far too often, ~1 row in 6) — this is more reasonable but still worth revisiting once real usage data exists; raising the cap beyond 2 sprays would reduce it further if 6–8% still feels like too many alerts for staff.</w:t>
      </w:r>
    </w:p>
    <w:p>
      <w:pPr>
        <w:pStyle w:val="ListParagraph"/>
        <w:numPr>
          <w:ilvl w:val="0"/>
          <w:numId w:val="1"/>
        </w:numPr>
        <w:spacing w:after="60"/>
      </w:pPr>
      <w:r>
        <w:t xml:space="preserve">hygiene_score and needs_cleaning are currently synthetic/proxy labels for pipeline development, not measurements from a real deployment — must be disclosed as such and eventually validated against real sensor logs and, ideally, human-judged cleanliness.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2026-08-24T11:10:41.818Z</dcterms:created>
  <dcterms:modified xsi:type="dcterms:W3CDTF">2026-08-24T11:10:41.833Z</dcterms:modified>
</cp:coreProperties>
</file>

<file path=docProps/custom.xml><?xml version="1.0" encoding="utf-8"?>
<Properties xmlns="http://schemas.openxmlformats.org/officeDocument/2006/custom-properties" xmlns:vt="http://schemas.openxmlformats.org/officeDocument/2006/docPropsVTypes"/>
</file>