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595959"/>
          <w:sz w:val="22"/>
          <w:szCs w:val="22"/>
        </w:rPr>
        <w:t xml:space="preserve">SMART INDIA HACKATHON</w:t>
      </w:r>
    </w:p>
    <w:p>
      <w:pPr>
        <w:spacing w:after="300"/>
        <w:jc w:val="center"/>
      </w:pPr>
      <w:r>
        <w:rPr>
          <w:rFonts w:ascii="Calibri" w:cs="Calibri" w:eastAsia="Calibri" w:hAnsi="Calibri"/>
          <w:color w:val="595959"/>
          <w:sz w:val="22"/>
          <w:szCs w:val="22"/>
        </w:rPr>
        <w:t xml:space="preserve">Problem Statement ID: 26013</w:t>
      </w:r>
    </w:p>
    <w:p>
      <w:pPr>
        <w:spacing w:after="400"/>
        <w:jc w:val="center"/>
      </w:pPr>
      <w:r>
        <w:rPr>
          <w:rFonts w:ascii="Calibri" w:cs="Calibri" w:eastAsia="Calibri" w:hAnsi="Calibri"/>
          <w:b/>
          <w:bCs/>
          <w:color w:val="1F4E5F"/>
          <w:sz w:val="40"/>
          <w:szCs w:val="40"/>
        </w:rPr>
        <w:t xml:space="preserve">From Survey Number to Intelligent Land Parcel:</w:t>
      </w:r>
    </w:p>
    <w:p>
      <w:pPr>
        <w:spacing w:after="500"/>
        <w:jc w:val="center"/>
      </w:pPr>
      <w:r>
        <w:rPr>
          <w:rFonts w:ascii="Calibri" w:cs="Calibri" w:eastAsia="Calibri" w:hAnsi="Calibri"/>
          <w:b/>
          <w:bCs/>
          <w:color w:val="333333"/>
          <w:sz w:val="26"/>
          <w:szCs w:val="26"/>
        </w:rPr>
        <w:t xml:space="preserve">An AI-Powered Village Digital Land Twin for Multi-Source Geospatial Harmonization of Land Records</w:t>
      </w:r>
    </w:p>
    <w:p>
      <w:pPr>
        <w:spacing w:after="120"/>
        <w:jc w:val="center"/>
      </w:pPr>
      <w:r>
        <w:rPr>
          <w:rFonts w:ascii="Calibri" w:cs="Calibri" w:eastAsia="Calibri" w:hAnsi="Calibri"/>
          <w:color w:val="595959"/>
          <w:sz w:val="20"/>
          <w:szCs w:val="20"/>
        </w:rPr>
        <w:t xml:space="preserve">Ministry of Rural Development — Department of Land Resources (DoLR)</w:t>
      </w:r>
    </w:p>
    <w:p>
      <w:pPr>
        <w:spacing w:after="120"/>
        <w:jc w:val="center"/>
      </w:pPr>
      <w:r>
        <w:rPr>
          <w:rFonts w:ascii="Calibri" w:cs="Calibri" w:eastAsia="Calibri" w:hAnsi="Calibri"/>
          <w:color w:val="595959"/>
          <w:sz w:val="20"/>
          <w:szCs w:val="20"/>
        </w:rPr>
        <w:t xml:space="preserve">Category: Software  |  Theme: Smart Automation</w:t>
      </w:r>
    </w:p>
    <w:p>
      <w:pPr>
        <w:spacing w:after="800"/>
        <w:jc w:val="center"/>
      </w:pPr>
      <w:r>
        <w:rPr>
          <w:rFonts w:ascii="Calibri" w:cs="Calibri" w:eastAsia="Calibri" w:hAnsi="Calibri"/>
          <w:i/>
          <w:iCs/>
          <w:color w:val="595959"/>
          <w:sz w:val="20"/>
          <w:szCs w:val="20"/>
        </w:rPr>
        <w:t xml:space="preserve">Detailed Technical Report</w:t>
      </w:r>
    </w:p>
    <w:p>
      <w:pPr>
        <w:spacing w:before="1400"/>
        <w:jc w:val="center"/>
      </w:pPr>
      <w:r>
        <w:rPr>
          <w:rFonts w:ascii="Calibri" w:cs="Calibri" w:eastAsia="Calibri" w:hAnsi="Calibri"/>
          <w:color w:val="595959"/>
          <w:sz w:val="19"/>
          <w:szCs w:val="19"/>
        </w:rPr>
        <w:t xml:space="preserve">Pilot Demonstrator Village: Khedi (Go.Go.), Taluka Narkhed, District Nagpur, Maharashtra</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1. Executive Summary</w:t>
      </w:r>
    </w:p>
    <w:p>
      <w:pPr>
        <w:spacing w:after="160" w:line="300"/>
        <w:jc w:val="both"/>
      </w:pPr>
      <w:r>
        <w:rPr>
          <w:rFonts w:ascii="Calibri" w:cs="Calibri" w:eastAsia="Calibri" w:hAnsi="Calibri"/>
          <w:b w:val="false"/>
          <w:bCs w:val="false"/>
          <w:i w:val="false"/>
          <w:iCs w:val="false"/>
          <w:sz w:val="21"/>
          <w:szCs w:val="21"/>
        </w:rPr>
        <w:t xml:space="preserve">Problem Statement 26013 calls for an AI/GeoAI platform capable of automatically integrating, harmonizing, validating, and synchronizing the many spatial and non-spatial datasets that go into a modern cadastral record — drone imagery, orthorectified imagery (ORI), DSM/DTM, ground truthing, GNSS/CORS surveys, revenue records, municipal GIS layers, utility data, and building footprints.</w:t>
      </w:r>
    </w:p>
    <w:p>
      <w:pPr>
        <w:spacing w:after="160" w:line="300"/>
        <w:jc w:val="both"/>
      </w:pPr>
      <w:r>
        <w:rPr>
          <w:rFonts w:ascii="Calibri" w:cs="Calibri" w:eastAsia="Calibri" w:hAnsi="Calibri"/>
          <w:b w:val="false"/>
          <w:bCs w:val="false"/>
          <w:i w:val="false"/>
          <w:iCs w:val="false"/>
          <w:sz w:val="21"/>
          <w:szCs w:val="21"/>
        </w:rPr>
        <w:t xml:space="preserve">The core reframing of this report is simple but important: the problem is not “put land records on a map.” Maharashtra already operates mature digital land-record and mapping services (Mahabhulekh for 7/12 and 8-A records, and Mahabhunakasha-type cadastral map services), and the Digital India Land Records Modernisation Programme (DILRMP) already calls for integration of textual Records-of-Rights with cadastral maps. The real, demonstrable opportunity is to build the AI-powered bridge that makes a Survey Number stop being a static line of text sitting next to a static picture, and instead become one intelligent, queryable, spatial entity — what this report calls a Village Digital Land Twin.</w:t>
      </w:r>
    </w:p>
    <w:p>
      <w:pPr>
        <w:spacing w:after="160" w:line="300"/>
        <w:jc w:val="both"/>
      </w:pPr>
      <w:r>
        <w:rPr>
          <w:rFonts w:ascii="Calibri" w:cs="Calibri" w:eastAsia="Calibri" w:hAnsi="Calibri"/>
          <w:b w:val="false"/>
          <w:bCs w:val="false"/>
          <w:i w:val="false"/>
          <w:iCs w:val="false"/>
          <w:sz w:val="21"/>
          <w:szCs w:val="21"/>
        </w:rPr>
        <w:t xml:space="preserve">This report uses a real, anonymized cadastral Plot Report (Village Khedi, Taluka Narkhed, District Nagpur, Maharashtra — Survey No. 255, split into sub-divisions 255/1, 255/2 and 255/3) as the running evidence and demo case throughout, and proposes an end-to-end architecture, an AI/ML pipeline, a confidence-scoring framework, a natural-language GIS assistant concept, and a technology stack to deliver it. All personally identifying owner names from the source document have been withheld/anonymized in this report; parcels are referred to only by their Survey Number, Khata Number and area, which is sufficient for the technical discussion.</w:t>
      </w:r>
    </w:p>
    <w:p>
      <w:pPr>
        <w:spacing w:after="160" w:line="300"/>
        <w:jc w:val="both"/>
      </w:pPr>
      <w:r>
        <w:rPr>
          <w:rFonts w:ascii="Calibri" w:cs="Calibri" w:eastAsia="Calibri" w:hAnsi="Calibri"/>
          <w:b w:val="false"/>
          <w:bCs w:val="false"/>
          <w:i/>
          <w:iCs/>
          <w:sz w:val="21"/>
          <w:szCs w:val="21"/>
        </w:rPr>
        <w:t xml:space="preserve">Strategic positioning note: NAKSHA (National Geospatial Knowledge-based Land Survey of Urban Habitations) is explicitly an urban/peri-urban programme. The chosen pilot, Khedi village, is a rural revenue village. This report therefore does not claim NAKSHA itself is rural — it positions the proposed system as a multi-source geospatial harmonization technology that is demonstrated on a rural/peri-urban village as a stand-in for the same class of problem NAKSHA solves in urban habitations, making the proposal technically transferable to both contexts rather than overstating NAKSHA's own scope.</w:t>
      </w:r>
    </w:p>
    <w:p>
      <w:pPr>
        <w:pStyle w:val="Heading1"/>
        <w:pBdr>
          <w:bottom w:val="single" w:color="1F4E5F" w:sz="8" w:space="4"/>
        </w:pBdr>
        <w:spacing w:after="160" w:before="360"/>
      </w:pPr>
      <w:r>
        <w:rPr>
          <w:rFonts w:ascii="Calibri" w:cs="Calibri" w:eastAsia="Calibri" w:hAnsi="Calibri"/>
          <w:b/>
          <w:bCs/>
          <w:color w:val="1F4E5F"/>
          <w:sz w:val="30"/>
          <w:szCs w:val="30"/>
        </w:rPr>
        <w:t xml:space="preserve">2. Reframing the Problem: From Survey Number to Intelligent Land Parcel</w:t>
      </w:r>
    </w:p>
    <w:p>
      <w:pPr>
        <w:spacing w:after="160" w:line="300"/>
        <w:jc w:val="both"/>
      </w:pPr>
      <w:r>
        <w:rPr>
          <w:rFonts w:ascii="Calibri" w:cs="Calibri" w:eastAsia="Calibri" w:hAnsi="Calibri"/>
          <w:b w:val="false"/>
          <w:bCs w:val="false"/>
          <w:i w:val="false"/>
          <w:iCs w:val="false"/>
          <w:sz w:val="21"/>
          <w:szCs w:val="21"/>
        </w:rPr>
        <w:t xml:space="preserve">Today's system keeps two worlds apart:</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LAND RECORD (Text)                  CADASTRAL MAP (Geometry)</w:t>
      </w:r>
      <w:r>
        <w:rPr>
          <w:rFonts w:ascii="Consolas" w:cs="Consolas" w:eastAsia="Consolas" w:hAnsi="Consolas"/>
          <w:sz w:val="17"/>
          <w:szCs w:val="17"/>
        </w:rPr>
        <w:br/>
        <w:t xml:space="preserve">  --------------------                --------------------------</w:t>
      </w:r>
      <w:r>
        <w:rPr>
          <w:rFonts w:ascii="Consolas" w:cs="Consolas" w:eastAsia="Consolas" w:hAnsi="Consolas"/>
          <w:sz w:val="17"/>
          <w:szCs w:val="17"/>
        </w:rPr>
        <w:br/>
        <w:t xml:space="preserve">  Survey No.  : 255/3                 A shaded polygon on a static</w:t>
      </w:r>
      <w:r>
        <w:rPr>
          <w:rFonts w:ascii="Consolas" w:cs="Consolas" w:eastAsia="Consolas" w:hAnsi="Consolas"/>
          <w:sz w:val="17"/>
          <w:szCs w:val="17"/>
        </w:rPr>
        <w:br/>
        <w:t xml:space="preserve">  Area        : 1.2000 Ha             printed / scanned index sheet,</w:t>
      </w:r>
      <w:r>
        <w:rPr>
          <w:rFonts w:ascii="Consolas" w:cs="Consolas" w:eastAsia="Consolas" w:hAnsi="Consolas"/>
          <w:sz w:val="17"/>
          <w:szCs w:val="17"/>
        </w:rPr>
        <w:br/>
        <w:t xml:space="preserve">  Khata No.   : 401                   with no coordinates, no</w:t>
      </w:r>
      <w:r>
        <w:rPr>
          <w:rFonts w:ascii="Consolas" w:cs="Consolas" w:eastAsia="Consolas" w:hAnsi="Consolas"/>
          <w:sz w:val="17"/>
          <w:szCs w:val="17"/>
        </w:rPr>
        <w:br/>
        <w:t xml:space="preserve">  Category    : Agricultural          sub-division lines, and no</w:t>
      </w:r>
      <w:r>
        <w:rPr>
          <w:rFonts w:ascii="Consolas" w:cs="Consolas" w:eastAsia="Consolas" w:hAnsi="Consolas"/>
          <w:sz w:val="17"/>
          <w:szCs w:val="17"/>
        </w:rPr>
        <w:br/>
        <w:t xml:space="preserve">                                       link back to the text record</w:t>
      </w:r>
    </w:p>
    <w:p>
      <w:pPr>
        <w:spacing w:after="160" w:line="300"/>
        <w:jc w:val="both"/>
      </w:pPr>
      <w:r>
        <w:rPr>
          <w:rFonts w:ascii="Calibri" w:cs="Calibri" w:eastAsia="Calibri" w:hAnsi="Calibri"/>
          <w:b w:val="false"/>
          <w:bCs w:val="false"/>
          <w:i w:val="false"/>
          <w:iCs w:val="false"/>
          <w:sz w:val="21"/>
          <w:szCs w:val="21"/>
        </w:rPr>
        <w:t xml:space="preserve">The proposed transformation fuses these into a single spatial entity that can be queried, clicked, and validated:</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VILLAGE MAP</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      LAND PARCEL     |</w:t>
      </w:r>
      <w:r>
        <w:rPr>
          <w:rFonts w:ascii="Consolas" w:cs="Consolas" w:eastAsia="Consolas" w:hAnsi="Consolas"/>
          <w:sz w:val="17"/>
          <w:szCs w:val="17"/>
        </w:rPr>
        <w:br/>
        <w:t xml:space="preserve">              |     Survey 255/3     |</w:t>
      </w:r>
      <w:r>
        <w:rPr>
          <w:rFonts w:ascii="Consolas" w:cs="Consolas" w:eastAsia="Consolas" w:hAnsi="Consolas"/>
          <w:sz w:val="17"/>
          <w:szCs w:val="17"/>
        </w:rPr>
        <w:br/>
        <w:t xml:space="preserve">              |                      |</w:t>
      </w:r>
      <w:r>
        <w:rPr>
          <w:rFonts w:ascii="Consolas" w:cs="Consolas" w:eastAsia="Consolas" w:hAnsi="Consolas"/>
          <w:sz w:val="17"/>
          <w:szCs w:val="17"/>
        </w:rPr>
        <w:br/>
        <w:t xml:space="preserve">              |  Area      : 1.20 Ha |</w:t>
      </w:r>
      <w:r>
        <w:rPr>
          <w:rFonts w:ascii="Consolas" w:cs="Consolas" w:eastAsia="Consolas" w:hAnsi="Consolas"/>
          <w:sz w:val="17"/>
          <w:szCs w:val="17"/>
        </w:rPr>
        <w:br/>
        <w:t xml:space="preserve">              |  Category  : Farm    |</w:t>
      </w:r>
      <w:r>
        <w:rPr>
          <w:rFonts w:ascii="Consolas" w:cs="Consolas" w:eastAsia="Consolas" w:hAnsi="Consolas"/>
          <w:sz w:val="17"/>
          <w:szCs w:val="17"/>
        </w:rPr>
        <w:br/>
        <w:t xml:space="preserve">              |  Khata No. : 401     |</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AI  +  GIS  +  LAND RECORDS</w:t>
      </w:r>
    </w:p>
    <w:p>
      <w:pPr>
        <w:spacing w:after="160" w:line="300"/>
        <w:jc w:val="both"/>
      </w:pPr>
      <w:r>
        <w:rPr>
          <w:rFonts w:ascii="Calibri" w:cs="Calibri" w:eastAsia="Calibri" w:hAnsi="Calibri"/>
          <w:b w:val="false"/>
          <w:bCs w:val="false"/>
          <w:i w:val="false"/>
          <w:iCs w:val="false"/>
          <w:sz w:val="21"/>
          <w:szCs w:val="21"/>
        </w:rPr>
        <w:t xml:space="preserve">Clicking the polygon opens the complete record — this is the concrete, demonstrable interpretation of “intelligent harmonization” in PS 26013, replacing a static shaded blob with a live, attributed, navigable feature.</w:t>
      </w:r>
    </w:p>
    <w:p>
      <w:pPr>
        <w:pStyle w:val="Heading1"/>
        <w:pBdr>
          <w:bottom w:val="single" w:color="1F4E5F" w:sz="8" w:space="4"/>
        </w:pBdr>
        <w:spacing w:after="160" w:before="360"/>
      </w:pPr>
      <w:r>
        <w:rPr>
          <w:rFonts w:ascii="Calibri" w:cs="Calibri" w:eastAsia="Calibri" w:hAnsi="Calibri"/>
          <w:b/>
          <w:bCs/>
          <w:color w:val="1F4E5F"/>
          <w:sz w:val="30"/>
          <w:szCs w:val="30"/>
        </w:rPr>
        <w:t xml:space="preserve">3. Grounding in Real Government Programmes</w:t>
      </w:r>
    </w:p>
    <w:p>
      <w:pPr>
        <w:pStyle w:val="Heading2"/>
        <w:spacing w:after="120" w:before="260"/>
      </w:pPr>
      <w:r>
        <w:rPr>
          <w:rFonts w:ascii="Calibri" w:cs="Calibri" w:eastAsia="Calibri" w:hAnsi="Calibri"/>
          <w:b/>
          <w:bCs/>
          <w:color w:val="1F4E5F"/>
          <w:sz w:val="24"/>
          <w:szCs w:val="24"/>
        </w:rPr>
        <w:t xml:space="preserve">3.1 Maharashtra's existing digital layer</w:t>
      </w:r>
    </w:p>
    <w:p>
      <w:pPr>
        <w:spacing w:after="160" w:line="300"/>
        <w:jc w:val="both"/>
      </w:pPr>
      <w:r>
        <w:rPr>
          <w:rFonts w:ascii="Calibri" w:cs="Calibri" w:eastAsia="Calibri" w:hAnsi="Calibri"/>
          <w:b w:val="false"/>
          <w:bCs w:val="false"/>
          <w:i w:val="false"/>
          <w:iCs w:val="false"/>
          <w:sz w:val="21"/>
          <w:szCs w:val="21"/>
        </w:rPr>
        <w:t xml:space="preserve">Maharashtra's land records are administered by the Jamabandi Aayukta va Sanchalak, Bhumi Abhilekh (Commissioner of Land Records) through the Mahabhulekh portal, which already digitally serves the 7/12 extract (Satbara Utara), 8-A, property cards and mutation (Ferfar) records across all revenue divisions — Konkan, Nashik, Pune, Aurangabad (Chhatrapati Sambhajinagar), Amravati, and Nagpur. This is a genuine e-governance success on the tabular/text side of the record.</w:t>
      </w:r>
    </w:p>
    <w:p>
      <w:pPr>
        <w:pStyle w:val="Heading2"/>
        <w:spacing w:after="120" w:before="260"/>
      </w:pPr>
      <w:r>
        <w:rPr>
          <w:rFonts w:ascii="Calibri" w:cs="Calibri" w:eastAsia="Calibri" w:hAnsi="Calibri"/>
          <w:b/>
          <w:bCs/>
          <w:color w:val="1F4E5F"/>
          <w:sz w:val="24"/>
          <w:szCs w:val="24"/>
        </w:rPr>
        <w:t xml:space="preserve">3.2 NAKSHA — the urban geospatial survey programme</w:t>
      </w:r>
    </w:p>
    <w:p>
      <w:pPr>
        <w:spacing w:after="160" w:line="300"/>
        <w:jc w:val="both"/>
      </w:pPr>
      <w:r>
        <w:rPr>
          <w:rFonts w:ascii="Calibri" w:cs="Calibri" w:eastAsia="Calibri" w:hAnsi="Calibri"/>
          <w:b w:val="false"/>
          <w:bCs w:val="false"/>
          <w:i w:val="false"/>
          <w:iCs w:val="false"/>
          <w:sz w:val="21"/>
          <w:szCs w:val="21"/>
        </w:rPr>
        <w:t xml:space="preserve">NAKSHA (National Geospatial Knowledge-based Land Survey of Urban Habitations) is the Union government's drone-based urban/peri-urban land-survey modernization programme under DILRMP, piloted across roughly 152 Urban Local Bodies in 26 states and 3 union territories. Its workflow explicitly proceeds through drone flight → ORI generation → field ground-truthing → Record-of-Rights (ROR) tagging → Web-GIS publication — the exact multi-source pipeline PS 26013 asks to be automated and harmonized.</w:t>
      </w:r>
    </w:p>
    <w:p>
      <w:pPr>
        <w:pStyle w:val="Heading2"/>
        <w:spacing w:after="120" w:before="260"/>
      </w:pPr>
      <w:r>
        <w:rPr>
          <w:rFonts w:ascii="Calibri" w:cs="Calibri" w:eastAsia="Calibri" w:hAnsi="Calibri"/>
          <w:b/>
          <w:bCs/>
          <w:color w:val="1F4E5F"/>
          <w:sz w:val="24"/>
          <w:szCs w:val="24"/>
        </w:rPr>
        <w:t xml:space="preserve">3.3 SVAMITVA — the rural counterpart</w:t>
      </w:r>
    </w:p>
    <w:p>
      <w:pPr>
        <w:spacing w:after="160" w:line="300"/>
        <w:jc w:val="both"/>
      </w:pPr>
      <w:r>
        <w:rPr>
          <w:rFonts w:ascii="Calibri" w:cs="Calibri" w:eastAsia="Calibri" w:hAnsi="Calibri"/>
          <w:b w:val="false"/>
          <w:bCs w:val="false"/>
          <w:i w:val="false"/>
          <w:iCs w:val="false"/>
          <w:sz w:val="21"/>
          <w:szCs w:val="21"/>
        </w:rPr>
        <w:t xml:space="preserve">SVAMITVA (Survey of Villages Abadi and Mapping with Improvised Technology in Village Areas) is the Panchayati Raj Ministry's rural sibling programme, using drone mapping to issue legal property cards in village inhabited (Abadi) areas. As of the most recently published figures, drone surveys had been completed in over 3.17 lakh villages nationally, with more than 2.25–2.35 crore property cards issued, including villages in Maharashtra.</w:t>
      </w:r>
    </w:p>
    <w:p>
      <w:pPr>
        <w:pStyle w:val="Heading2"/>
        <w:spacing w:after="120" w:before="260"/>
      </w:pPr>
      <w:r>
        <w:rPr>
          <w:rFonts w:ascii="Calibri" w:cs="Calibri" w:eastAsia="Calibri" w:hAnsi="Calibri"/>
          <w:b/>
          <w:bCs/>
          <w:color w:val="1F4E5F"/>
          <w:sz w:val="24"/>
          <w:szCs w:val="24"/>
        </w:rPr>
        <w:t xml:space="preserve">3.4 Why the pilot is positioned as a demonstrator, not a NAKSHA substitute</w:t>
      </w:r>
    </w:p>
    <w:p>
      <w:pPr>
        <w:spacing w:after="160" w:line="300"/>
        <w:jc w:val="both"/>
      </w:pPr>
      <w:r>
        <w:rPr>
          <w:rFonts w:ascii="Calibri" w:cs="Calibri" w:eastAsia="Calibri" w:hAnsi="Calibri"/>
          <w:b w:val="false"/>
          <w:bCs w:val="false"/>
          <w:i w:val="false"/>
          <w:iCs w:val="false"/>
          <w:sz w:val="21"/>
          <w:szCs w:val="21"/>
        </w:rPr>
        <w:t xml:space="preserve">Because PS 26013 sits under NAKSHA's urban mandate while the reference document and chosen pilot (Khedi) are rural, this report frames the proposed system as an intelligent harmonization and village-level decision-support layer that can consume NAKSHA-, SVAMITVA-, and Mahabhulekh-style datasets alike — rather than positioning the solution as a competitor to, or a rebrand of, either programme. The rural pilot is chosen purely because it is the site with real, verifiable reference data available for this report; the architecture itself is domain-agnostic to urban vs. rural cadastral geometry.</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4. Case Study: The Reference Plot Report</w:t>
      </w:r>
    </w:p>
    <w:p>
      <w:pPr>
        <w:spacing w:after="160" w:line="300"/>
        <w:jc w:val="both"/>
      </w:pPr>
      <w:r>
        <w:rPr>
          <w:rFonts w:ascii="Calibri" w:cs="Calibri" w:eastAsia="Calibri" w:hAnsi="Calibri"/>
          <w:b w:val="false"/>
          <w:bCs w:val="false"/>
          <w:i w:val="false"/>
          <w:iCs w:val="false"/>
          <w:sz w:val="21"/>
          <w:szCs w:val="21"/>
        </w:rPr>
        <w:t xml:space="preserve">The reference document supplied for this analysis is a “Plot Report” for Village Khedi (Go.Go.), Taluka Narkhed, District Nagpur, Maharashtra, at Scale 1:5000, bearing an official Bhumi Abhilekh seal. All owner names have been withheld below in line with this report's anonymization requirement; only survey-administrative fields are retained.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rPr>
          <w:tblHeader/>
        </w:trPr>
        <w:tc>
          <w:tcPr>
            <w:tcW w:type="dxa" w:w="260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Field</w:t>
            </w:r>
          </w:p>
        </w:tc>
        <w:tc>
          <w:tcPr>
            <w:tcW w:type="dxa" w:w="225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255/1</w:t>
            </w:r>
          </w:p>
        </w:tc>
        <w:tc>
          <w:tcPr>
            <w:tcW w:type="dxa" w:w="225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255/2</w:t>
            </w:r>
          </w:p>
        </w:tc>
        <w:tc>
          <w:tcPr>
            <w:tcW w:type="dxa" w:w="225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255/3</w:t>
            </w:r>
          </w:p>
        </w:tc>
      </w:tr>
      <w:tr>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Total Area</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1.4000 Ha</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1.2000 Ha</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1.2000 Ha</w:t>
            </w:r>
          </w:p>
        </w:tc>
      </w:tr>
      <w:tr>
        <w:tc>
          <w:tcPr>
            <w:tcW w:type="dxa" w:w="26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Pot Kharaba (waste land)</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0.0000</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0.0000</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0.0000</w:t>
            </w:r>
          </w:p>
        </w:tc>
      </w:tr>
      <w:tr>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Khata No.</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291</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400</w:t>
            </w:r>
          </w:p>
        </w:tc>
        <w:tc>
          <w:tcPr>
            <w:tcW w:type="dxa" w:w="2250"/>
            <w:tcMar>
              <w:top w:type="dxa" w:w="100"/>
              <w:left w:type="dxa" w:w="120"/>
              <w:bottom w:type="dxa" w:w="100"/>
              <w:right w:type="dxa" w:w="120"/>
            </w:tcMar>
          </w:tcPr>
          <w:p>
            <w:r>
              <w:rPr>
                <w:rFonts w:ascii="Calibri" w:cs="Calibri" w:eastAsia="Calibri" w:hAnsi="Calibri"/>
                <w:b w:val="false"/>
                <w:bCs w:val="false"/>
                <w:color w:val="222222"/>
                <w:sz w:val="19"/>
                <w:szCs w:val="19"/>
              </w:rPr>
              <w:t xml:space="preserve">401</w:t>
            </w:r>
          </w:p>
        </w:tc>
      </w:tr>
      <w:tr>
        <w:tc>
          <w:tcPr>
            <w:tcW w:type="dxa" w:w="26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Owner Name</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[withheld]</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[withheld]</w:t>
            </w:r>
          </w:p>
        </w:tc>
        <w:tc>
          <w:tcPr>
            <w:tcW w:type="dxa" w:w="22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[withheld]</w:t>
            </w:r>
          </w:p>
        </w:tc>
      </w:tr>
    </w:tbl>
    <w:p>
      <w:pPr>
        <w:spacing w:after="220"/>
        <w:jc w:val="center"/>
      </w:pPr>
      <w:r>
        <w:rPr>
          <w:rFonts w:ascii="Calibri" w:cs="Calibri" w:eastAsia="Calibri" w:hAnsi="Calibri"/>
          <w:i/>
          <w:iCs/>
          <w:color w:val="595959"/>
          <w:sz w:val="18"/>
          <w:szCs w:val="18"/>
        </w:rPr>
        <w:t xml:space="preserve">Table 1 — Sub-division data for Survey No. 255, anonymized from the reference Plot Report.</w:t>
      </w:r>
    </w:p>
    <w:p>
      <w:pPr>
        <w:spacing w:after="160" w:line="300"/>
        <w:jc w:val="both"/>
      </w:pPr>
      <w:r>
        <w:rPr>
          <w:rFonts w:ascii="Calibri" w:cs="Calibri" w:eastAsia="Calibri" w:hAnsi="Calibri"/>
          <w:b w:val="false"/>
          <w:bCs w:val="false"/>
          <w:i w:val="false"/>
          <w:iCs w:val="false"/>
          <w:sz w:val="21"/>
          <w:szCs w:val="21"/>
        </w:rPr>
        <w:t xml:space="preserve">On the map sheet itself, Survey No. 255 appears as a single shaded composite polygon, surrounded by neighbouring surveyed parcels (228, 233, 234, 240, 245–260, 268–270). Reading the document carefully surfaces the precise structural gap PS 26013 targets:</w:t>
      </w:r>
    </w:p>
    <w:p>
      <w:pPr>
        <w:pStyle w:val="ListParagraph"/>
        <w:numPr>
          <w:ilvl w:val="0"/>
          <w:numId w:val="2"/>
        </w:numPr>
        <w:spacing w:after="90"/>
      </w:pPr>
      <w:r>
        <w:rPr>
          <w:rFonts w:ascii="Calibri" w:cs="Calibri" w:eastAsia="Calibri" w:hAnsi="Calibri"/>
          <w:sz w:val="21"/>
          <w:szCs w:val="21"/>
        </w:rPr>
        <w:t xml:space="preserve">The map is a flattened, non-georeferenced raster — a scanned/printed sheet with a north arrow and a stated scale, not a coordinate-bearing vector polygon.</w:t>
      </w:r>
    </w:p>
    <w:p>
      <w:pPr>
        <w:pStyle w:val="ListParagraph"/>
        <w:numPr>
          <w:ilvl w:val="0"/>
          <w:numId w:val="2"/>
        </w:numPr>
        <w:spacing w:after="90"/>
      </w:pPr>
      <w:r>
        <w:rPr>
          <w:rFonts w:ascii="Calibri" w:cs="Calibri" w:eastAsia="Calibri" w:hAnsi="Calibri"/>
          <w:sz w:val="21"/>
          <w:szCs w:val="21"/>
        </w:rPr>
        <w:t xml:space="preserve">The Bhumapan Kramank (survey/sub-division number, e.g. “255/3”) is the only bridge between map and table, and that bridge is entirely manual today.</w:t>
      </w:r>
    </w:p>
    <w:p>
      <w:pPr>
        <w:pStyle w:val="ListParagraph"/>
        <w:numPr>
          <w:ilvl w:val="0"/>
          <w:numId w:val="2"/>
        </w:numPr>
        <w:spacing w:after="90"/>
      </w:pPr>
      <w:r>
        <w:rPr>
          <w:rFonts w:ascii="Calibri" w:cs="Calibri" w:eastAsia="Calibri" w:hAnsi="Calibri"/>
          <w:sz w:val="21"/>
          <w:szCs w:val="21"/>
        </w:rPr>
        <w:t xml:space="preserve">No internal boundary lines are drawn between 255/1, 255/2 and 255/3 — the sub-division split is only readable from the tabular list below the map, not from the geometry itself.</w:t>
      </w:r>
    </w:p>
    <w:p>
      <w:pPr>
        <w:pStyle w:val="ListParagraph"/>
        <w:numPr>
          <w:ilvl w:val="0"/>
          <w:numId w:val="2"/>
        </w:numPr>
        <w:spacing w:after="90"/>
      </w:pPr>
      <w:r>
        <w:rPr>
          <w:rFonts w:ascii="Calibri" w:cs="Calibri" w:eastAsia="Calibri" w:hAnsi="Calibri"/>
          <w:sz w:val="21"/>
          <w:szCs w:val="21"/>
        </w:rPr>
        <w:t xml:space="preserve">There is no dynamic/interactive fencing: unlike the queryable 7/12 lookup, the spatial side is a static, page-numbered document, not a pannable/zoomable Web-GIS layer.</w:t>
      </w:r>
    </w:p>
    <w:p>
      <w:pPr>
        <w:pStyle w:val="ListParagraph"/>
        <w:numPr>
          <w:ilvl w:val="0"/>
          <w:numId w:val="2"/>
        </w:numPr>
        <w:spacing w:after="90"/>
      </w:pPr>
      <w:r>
        <w:rPr>
          <w:rFonts w:ascii="Calibri" w:cs="Calibri" w:eastAsia="Calibri" w:hAnsi="Calibri"/>
          <w:sz w:val="21"/>
          <w:szCs w:val="21"/>
        </w:rPr>
        <w:t xml:space="preserve">Rich, clean attribute data (area, khata number, category) sits unstructured at the bottom of an otherwise pictorial page, rather than fused as attributes on a queryable polygon feature.</w:t>
      </w:r>
    </w:p>
    <w:p>
      <w:pPr>
        <w:pStyle w:val="Heading1"/>
        <w:pBdr>
          <w:bottom w:val="single" w:color="1F4E5F" w:sz="8" w:space="4"/>
        </w:pBdr>
        <w:spacing w:after="160" w:before="360"/>
      </w:pPr>
      <w:r>
        <w:rPr>
          <w:rFonts w:ascii="Calibri" w:cs="Calibri" w:eastAsia="Calibri" w:hAnsi="Calibri"/>
          <w:b/>
          <w:bCs/>
          <w:color w:val="1F4E5F"/>
          <w:sz w:val="30"/>
          <w:szCs w:val="30"/>
        </w:rPr>
        <w:t xml:space="preserve">5. Core Concept: The Village Digital Land Twin</w:t>
      </w:r>
    </w:p>
    <w:p>
      <w:pPr>
        <w:spacing w:after="160" w:line="300"/>
        <w:jc w:val="both"/>
      </w:pPr>
      <w:r>
        <w:rPr>
          <w:rFonts w:ascii="Calibri" w:cs="Calibri" w:eastAsia="Calibri" w:hAnsi="Calibri"/>
          <w:b w:val="false"/>
          <w:bCs w:val="false"/>
          <w:i w:val="false"/>
          <w:iCs w:val="false"/>
          <w:sz w:val="21"/>
          <w:szCs w:val="21"/>
        </w:rPr>
        <w:t xml:space="preserve">Rather than stopping at single-parcel visualization, the strongest version of this idea is an AI-driven Village Digital Land Twin — a single, layered digital representation of one complete pilot village (Khedi, Narkhed Taluka, Nagpur District) that fuses land records, geospatial imagery, and planning infrastructure layers into one queryable system.</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VILLAGE DIGITAL TWIN</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                    |                     |</w:t>
      </w:r>
      <w:r>
        <w:rPr>
          <w:rFonts w:ascii="Consolas" w:cs="Consolas" w:eastAsia="Consolas" w:hAnsi="Consolas"/>
          <w:sz w:val="17"/>
          <w:szCs w:val="17"/>
        </w:rPr>
        <w:br/>
        <w:t xml:space="preserve">   LAND RECORDS          GEOSPATIAL              PLANNING</w:t>
      </w:r>
      <w:r>
        <w:rPr>
          <w:rFonts w:ascii="Consolas" w:cs="Consolas" w:eastAsia="Consolas" w:hAnsi="Consolas"/>
          <w:sz w:val="17"/>
          <w:szCs w:val="17"/>
        </w:rPr>
        <w:br/>
        <w:t xml:space="preserve">        |                    |                     |</w:t>
      </w:r>
      <w:r>
        <w:rPr>
          <w:rFonts w:ascii="Consolas" w:cs="Consolas" w:eastAsia="Consolas" w:hAnsi="Consolas"/>
          <w:sz w:val="17"/>
          <w:szCs w:val="17"/>
        </w:rPr>
        <w:br/>
        <w:t xml:space="preserve">    7/12, 8-A             Satellite               Roads</w:t>
      </w:r>
      <w:r>
        <w:rPr>
          <w:rFonts w:ascii="Consolas" w:cs="Consolas" w:eastAsia="Consolas" w:hAnsi="Consolas"/>
          <w:sz w:val="17"/>
          <w:szCs w:val="17"/>
        </w:rPr>
        <w:br/>
        <w:t xml:space="preserve">    Ferfar (mutation)     Drone imagery           Water supply</w:t>
      </w:r>
      <w:r>
        <w:rPr>
          <w:rFonts w:ascii="Consolas" w:cs="Consolas" w:eastAsia="Consolas" w:hAnsi="Consolas"/>
          <w:sz w:val="17"/>
          <w:szCs w:val="17"/>
        </w:rPr>
        <w:br/>
        <w:t xml:space="preserve">    Khata records         ORI                     Electricity</w:t>
      </w:r>
      <w:r>
        <w:rPr>
          <w:rFonts w:ascii="Consolas" w:cs="Consolas" w:eastAsia="Consolas" w:hAnsi="Consolas"/>
          <w:sz w:val="17"/>
          <w:szCs w:val="17"/>
        </w:rPr>
        <w:br/>
        <w:t xml:space="preserve">    Survey Numbers        DSM / DTM               Schools</w:t>
      </w:r>
      <w:r>
        <w:rPr>
          <w:rFonts w:ascii="Consolas" w:cs="Consolas" w:eastAsia="Consolas" w:hAnsi="Consolas"/>
          <w:sz w:val="17"/>
          <w:szCs w:val="17"/>
        </w:rPr>
        <w:br/>
        <w:t xml:space="preserve">                           GNSS points             Hospitals</w:t>
      </w:r>
      <w:r>
        <w:rPr>
          <w:rFonts w:ascii="Consolas" w:cs="Consolas" w:eastAsia="Consolas" w:hAnsi="Consolas"/>
          <w:sz w:val="17"/>
          <w:szCs w:val="17"/>
        </w:rPr>
        <w:br/>
        <w:t xml:space="preserve">        |                    |                     |</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AI ENGINE</w:t>
      </w:r>
      <w:r>
        <w:rPr>
          <w:rFonts w:ascii="Consolas" w:cs="Consolas" w:eastAsia="Consolas" w:hAnsi="Consolas"/>
          <w:sz w:val="17"/>
          <w:szCs w:val="17"/>
        </w:rPr>
        <w:br/>
        <w:t xml:space="preserve">                             |</w:t>
      </w:r>
      <w:r>
        <w:rPr>
          <w:rFonts w:ascii="Consolas" w:cs="Consolas" w:eastAsia="Consolas" w:hAnsi="Consolas"/>
          <w:sz w:val="17"/>
          <w:szCs w:val="17"/>
        </w:rPr>
        <w:br/>
        <w:t xml:space="preserve">               INTELLIGENT LAND DATABASE</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6. Technical Pipeline: From Cadastral Document to Digital Parcel</w:t>
      </w:r>
    </w:p>
    <w:p>
      <w:pPr>
        <w:spacing w:after="160" w:line="300"/>
        <w:jc w:val="both"/>
      </w:pPr>
      <w:r>
        <w:rPr>
          <w:rFonts w:ascii="Calibri" w:cs="Calibri" w:eastAsia="Calibri" w:hAnsi="Calibri"/>
          <w:b w:val="false"/>
          <w:bCs w:val="false"/>
          <w:i w:val="false"/>
          <w:iCs w:val="false"/>
          <w:sz w:val="21"/>
          <w:szCs w:val="21"/>
        </w:rPr>
        <w:t xml:space="preserve">The reference document itself becomes the AI's training/inference problem. Given an input sheet containing survey numbers such as 255/1, 255/2, 255/3, 254, 256, 257, the system must resolve four questions simultaneously:</w:t>
      </w:r>
    </w:p>
    <w:p>
      <w:pPr>
        <w:pStyle w:val="ListParagraph"/>
        <w:numPr>
          <w:ilvl w:val="0"/>
          <w:numId w:val="2"/>
        </w:numPr>
        <w:spacing w:after="90"/>
      </w:pPr>
      <w:r>
        <w:rPr>
          <w:rFonts w:ascii="Calibri" w:cs="Calibri" w:eastAsia="Calibri" w:hAnsi="Calibri"/>
          <w:sz w:val="21"/>
          <w:szCs w:val="21"/>
        </w:rPr>
        <w:t xml:space="preserve">Spatial — where is 255/3, exactly, in real-world coordinates?</w:t>
      </w:r>
    </w:p>
    <w:p>
      <w:pPr>
        <w:pStyle w:val="ListParagraph"/>
        <w:numPr>
          <w:ilvl w:val="0"/>
          <w:numId w:val="2"/>
        </w:numPr>
        <w:spacing w:after="90"/>
      </w:pPr>
      <w:r>
        <w:rPr>
          <w:rFonts w:ascii="Calibri" w:cs="Calibri" w:eastAsia="Calibri" w:hAnsi="Calibri"/>
          <w:sz w:val="21"/>
          <w:szCs w:val="21"/>
        </w:rPr>
        <w:t xml:space="preserve">Semantic — what does 255/3 represent (agricultural, residential, waste)?</w:t>
      </w:r>
    </w:p>
    <w:p>
      <w:pPr>
        <w:pStyle w:val="ListParagraph"/>
        <w:numPr>
          <w:ilvl w:val="0"/>
          <w:numId w:val="2"/>
        </w:numPr>
        <w:spacing w:after="90"/>
      </w:pPr>
      <w:r>
        <w:rPr>
          <w:rFonts w:ascii="Calibri" w:cs="Calibri" w:eastAsia="Calibri" w:hAnsi="Calibri"/>
          <w:sz w:val="21"/>
          <w:szCs w:val="21"/>
        </w:rPr>
        <w:t xml:space="preserve">Numerical — what is its area, and does that match the record?</w:t>
      </w:r>
    </w:p>
    <w:p>
      <w:pPr>
        <w:pStyle w:val="ListParagraph"/>
        <w:numPr>
          <w:ilvl w:val="0"/>
          <w:numId w:val="2"/>
        </w:numPr>
        <w:spacing w:after="90"/>
      </w:pPr>
      <w:r>
        <w:rPr>
          <w:rFonts w:ascii="Calibri" w:cs="Calibri" w:eastAsia="Calibri" w:hAnsi="Calibri"/>
          <w:sz w:val="21"/>
          <w:szCs w:val="21"/>
        </w:rPr>
        <w:t xml:space="preserve">Administrative — which village / taluka / district does it belong to, and has it changed over time?</w:t>
      </w:r>
    </w:p>
    <w:p>
      <w:pPr>
        <w:spacing w:after="160" w:line="300"/>
        <w:jc w:val="both"/>
      </w:pPr>
      <w:r>
        <w:rPr>
          <w:rFonts w:ascii="Calibri" w:cs="Calibri" w:eastAsia="Calibri" w:hAnsi="Calibri"/>
          <w:b w:val="false"/>
          <w:bCs w:val="false"/>
          <w:i w:val="false"/>
          <w:iCs w:val="false"/>
          <w:sz w:val="21"/>
          <w:szCs w:val="21"/>
        </w:rPr>
        <w:t xml:space="preserve">This resolves into a concrete processing pipeline:</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Cadastral PDF / Image</w:t>
      </w:r>
      <w:r>
        <w:rPr>
          <w:rFonts w:ascii="Consolas" w:cs="Consolas" w:eastAsia="Consolas" w:hAnsi="Consolas"/>
          <w:sz w:val="17"/>
          <w:szCs w:val="17"/>
        </w:rPr>
        <w:br/>
        <w:t xml:space="preserve">          |</w:t>
      </w:r>
      <w:r>
        <w:rPr>
          <w:rFonts w:ascii="Consolas" w:cs="Consolas" w:eastAsia="Consolas" w:hAnsi="Consolas"/>
          <w:sz w:val="17"/>
          <w:szCs w:val="17"/>
        </w:rPr>
        <w:br/>
        <w:t xml:space="preserve">  Document AI / OCR  (Devanagari + English, layout analysis)</w:t>
      </w:r>
      <w:r>
        <w:rPr>
          <w:rFonts w:ascii="Consolas" w:cs="Consolas" w:eastAsia="Consolas" w:hAnsi="Consolas"/>
          <w:sz w:val="17"/>
          <w:szCs w:val="17"/>
        </w:rPr>
        <w:br/>
        <w:t xml:space="preserve">          |</w:t>
      </w:r>
      <w:r>
        <w:rPr>
          <w:rFonts w:ascii="Consolas" w:cs="Consolas" w:eastAsia="Consolas" w:hAnsi="Consolas"/>
          <w:sz w:val="17"/>
          <w:szCs w:val="17"/>
        </w:rPr>
        <w:br/>
        <w:t xml:space="preserve">  Survey Number Extraction</w:t>
      </w:r>
      <w:r>
        <w:rPr>
          <w:rFonts w:ascii="Consolas" w:cs="Consolas" w:eastAsia="Consolas" w:hAnsi="Consolas"/>
          <w:sz w:val="17"/>
          <w:szCs w:val="17"/>
        </w:rPr>
        <w:br/>
        <w:t xml:space="preserve">          |</w:t>
      </w:r>
      <w:r>
        <w:rPr>
          <w:rFonts w:ascii="Consolas" w:cs="Consolas" w:eastAsia="Consolas" w:hAnsi="Consolas"/>
          <w:sz w:val="17"/>
          <w:szCs w:val="17"/>
        </w:rPr>
        <w:br/>
        <w:t xml:space="preserve">  Cadastral Boundary Detection  (CV segmentation)</w:t>
      </w:r>
      <w:r>
        <w:rPr>
          <w:rFonts w:ascii="Consolas" w:cs="Consolas" w:eastAsia="Consolas" w:hAnsi="Consolas"/>
          <w:sz w:val="17"/>
          <w:szCs w:val="17"/>
        </w:rPr>
        <w:br/>
        <w:t xml:space="preserve">          |</w:t>
      </w:r>
      <w:r>
        <w:rPr>
          <w:rFonts w:ascii="Consolas" w:cs="Consolas" w:eastAsia="Consolas" w:hAnsi="Consolas"/>
          <w:sz w:val="17"/>
          <w:szCs w:val="17"/>
        </w:rPr>
        <w:br/>
        <w:t xml:space="preserve">  Polygon Generation  (incl. sub-division partitioning)</w:t>
      </w:r>
      <w:r>
        <w:rPr>
          <w:rFonts w:ascii="Consolas" w:cs="Consolas" w:eastAsia="Consolas" w:hAnsi="Consolas"/>
          <w:sz w:val="17"/>
          <w:szCs w:val="17"/>
        </w:rPr>
        <w:br/>
        <w:t xml:space="preserve">          |</w:t>
      </w:r>
      <w:r>
        <w:rPr>
          <w:rFonts w:ascii="Consolas" w:cs="Consolas" w:eastAsia="Consolas" w:hAnsi="Consolas"/>
          <w:sz w:val="17"/>
          <w:szCs w:val="17"/>
        </w:rPr>
        <w:br/>
        <w:t xml:space="preserve">  Georeferencing  (control points, datum transform)</w:t>
      </w:r>
      <w:r>
        <w:rPr>
          <w:rFonts w:ascii="Consolas" w:cs="Consolas" w:eastAsia="Consolas" w:hAnsi="Consolas"/>
          <w:sz w:val="17"/>
          <w:szCs w:val="17"/>
        </w:rPr>
        <w:br/>
        <w:t xml:space="preserve">          |</w:t>
      </w:r>
      <w:r>
        <w:rPr>
          <w:rFonts w:ascii="Consolas" w:cs="Consolas" w:eastAsia="Consolas" w:hAnsi="Consolas"/>
          <w:sz w:val="17"/>
          <w:szCs w:val="17"/>
        </w:rPr>
        <w:br/>
        <w:t xml:space="preserve">  Coordinate Transformation  (local grid &lt;-&gt; WGS84)</w:t>
      </w:r>
      <w:r>
        <w:rPr>
          <w:rFonts w:ascii="Consolas" w:cs="Consolas" w:eastAsia="Consolas" w:hAnsi="Consolas"/>
          <w:sz w:val="17"/>
          <w:szCs w:val="17"/>
        </w:rPr>
        <w:br/>
        <w:t xml:space="preserve">          |</w:t>
      </w:r>
      <w:r>
        <w:rPr>
          <w:rFonts w:ascii="Consolas" w:cs="Consolas" w:eastAsia="Consolas" w:hAnsi="Consolas"/>
          <w:sz w:val="17"/>
          <w:szCs w:val="17"/>
        </w:rPr>
        <w:br/>
        <w:t xml:space="preserve">  Spatial Matching  (polygon &lt;-&gt; record linkage)</w:t>
      </w:r>
      <w:r>
        <w:rPr>
          <w:rFonts w:ascii="Consolas" w:cs="Consolas" w:eastAsia="Consolas" w:hAnsi="Consolas"/>
          <w:sz w:val="17"/>
          <w:szCs w:val="17"/>
        </w:rPr>
        <w:br/>
        <w:t xml:space="preserve">          |</w:t>
      </w:r>
      <w:r>
        <w:rPr>
          <w:rFonts w:ascii="Consolas" w:cs="Consolas" w:eastAsia="Consolas" w:hAnsi="Consolas"/>
          <w:sz w:val="17"/>
          <w:szCs w:val="17"/>
        </w:rPr>
        <w:br/>
        <w:t xml:space="preserve">  Land Record Database  (PostGIS golden record)</w:t>
      </w:r>
      <w:r>
        <w:rPr>
          <w:rFonts w:ascii="Consolas" w:cs="Consolas" w:eastAsia="Consolas" w:hAnsi="Consolas"/>
          <w:sz w:val="17"/>
          <w:szCs w:val="17"/>
        </w:rPr>
        <w:br/>
        <w:t xml:space="preserve">          |</w:t>
      </w:r>
      <w:r>
        <w:rPr>
          <w:rFonts w:ascii="Consolas" w:cs="Consolas" w:eastAsia="Consolas" w:hAnsi="Consolas"/>
          <w:sz w:val="17"/>
          <w:szCs w:val="17"/>
        </w:rPr>
        <w:br/>
        <w:t xml:space="preserve">  Interactive Web-GIS</w:t>
      </w:r>
    </w:p>
    <w:p>
      <w:pPr>
        <w:pStyle w:val="Heading2"/>
        <w:spacing w:after="120" w:before="260"/>
      </w:pPr>
      <w:r>
        <w:rPr>
          <w:rFonts w:ascii="Calibri" w:cs="Calibri" w:eastAsia="Calibri" w:hAnsi="Calibri"/>
          <w:b/>
          <w:bCs/>
          <w:color w:val="1F4E5F"/>
          <w:sz w:val="24"/>
          <w:szCs w:val="24"/>
        </w:rPr>
        <w:t xml:space="preserve">6.1 Cadastral map understanding — the strongest technical contribution</w:t>
      </w:r>
    </w:p>
    <w:p>
      <w:pPr>
        <w:spacing w:after="160" w:line="300"/>
        <w:jc w:val="both"/>
      </w:pPr>
      <w:r>
        <w:rPr>
          <w:rFonts w:ascii="Calibri" w:cs="Calibri" w:eastAsia="Calibri" w:hAnsi="Calibri"/>
          <w:b w:val="false"/>
          <w:bCs w:val="false"/>
          <w:i w:val="false"/>
          <w:iCs w:val="false"/>
          <w:sz w:val="21"/>
          <w:szCs w:val="21"/>
        </w:rPr>
        <w:t xml:space="preserve">The AI's job on an image such as the reference sheet is to move from a raster region to a structured geographic feature:</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N</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     256     |</w:t>
      </w:r>
      <w:r>
        <w:rPr>
          <w:rFonts w:ascii="Consolas" w:cs="Consolas" w:eastAsia="Consolas" w:hAnsi="Consolas"/>
          <w:sz w:val="17"/>
          <w:szCs w:val="17"/>
        </w:rPr>
        <w:br/>
        <w:t xml:space="preserve">  |             |</w:t>
      </w:r>
      <w:r>
        <w:rPr>
          <w:rFonts w:ascii="Consolas" w:cs="Consolas" w:eastAsia="Consolas" w:hAnsi="Consolas"/>
          <w:sz w:val="17"/>
          <w:szCs w:val="17"/>
        </w:rPr>
        <w:br/>
        <w:t xml:space="preserve">  |   +----+    |</w:t>
      </w:r>
      <w:r>
        <w:rPr>
          <w:rFonts w:ascii="Consolas" w:cs="Consolas" w:eastAsia="Consolas" w:hAnsi="Consolas"/>
          <w:sz w:val="17"/>
          <w:szCs w:val="17"/>
        </w:rPr>
        <w:br/>
        <w:t xml:space="preserve">  |   |255/3    |</w:t>
      </w:r>
      <w:r>
        <w:rPr>
          <w:rFonts w:ascii="Consolas" w:cs="Consolas" w:eastAsia="Consolas" w:hAnsi="Consolas"/>
          <w:sz w:val="17"/>
          <w:szCs w:val="17"/>
        </w:rPr>
        <w:br/>
        <w:t xml:space="preserve">  |   |         |</w:t>
      </w:r>
      <w:r>
        <w:rPr>
          <w:rFonts w:ascii="Consolas" w:cs="Consolas" w:eastAsia="Consolas" w:hAnsi="Consolas"/>
          <w:sz w:val="17"/>
          <w:szCs w:val="17"/>
        </w:rPr>
        <w:br/>
        <w:t xml:space="preserve">  |   +---------+</w:t>
      </w:r>
      <w:r>
        <w:rPr>
          <w:rFonts w:ascii="Consolas" w:cs="Consolas" w:eastAsia="Consolas" w:hAnsi="Consolas"/>
          <w:sz w:val="17"/>
          <w:szCs w:val="17"/>
        </w:rPr>
        <w:br/>
        <w:t xml:space="preserve">  +-------------+</w:t>
      </w:r>
    </w:p>
    <w:p>
      <w:pPr>
        <w:spacing w:after="160" w:line="300"/>
        <w:jc w:val="both"/>
      </w:pPr>
      <w:r>
        <w:rPr>
          <w:rFonts w:ascii="Calibri" w:cs="Calibri" w:eastAsia="Calibri" w:hAnsi="Calibri"/>
          <w:b w:val="false"/>
          <w:bCs w:val="false"/>
          <w:i w:val="false"/>
          <w:iCs w:val="false"/>
          <w:sz w:val="21"/>
          <w:szCs w:val="21"/>
        </w:rPr>
        <w:t xml:space="preserve">...producing a structured output such as:</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w:t>
      </w:r>
      <w:r>
        <w:rPr>
          <w:rFonts w:ascii="Consolas" w:cs="Consolas" w:eastAsia="Consolas" w:hAnsi="Consolas"/>
          <w:sz w:val="17"/>
          <w:szCs w:val="17"/>
        </w:rPr>
        <w:br/>
        <w:t xml:space="preserve">    "survey_number": "255/3",</w:t>
      </w:r>
      <w:r>
        <w:rPr>
          <w:rFonts w:ascii="Consolas" w:cs="Consolas" w:eastAsia="Consolas" w:hAnsi="Consolas"/>
          <w:sz w:val="17"/>
          <w:szCs w:val="17"/>
        </w:rPr>
        <w:br/>
        <w:t xml:space="preserve">    "geometry": { "type": "Polygon", "coordinates": [ ... ] },</w:t>
      </w:r>
      <w:r>
        <w:rPr>
          <w:rFonts w:ascii="Consolas" w:cs="Consolas" w:eastAsia="Consolas" w:hAnsi="Consolas"/>
          <w:sz w:val="17"/>
          <w:szCs w:val="17"/>
        </w:rPr>
        <w:br/>
        <w:t xml:space="preserve">    "area_ha": 1.2,</w:t>
      </w:r>
      <w:r>
        <w:rPr>
          <w:rFonts w:ascii="Consolas" w:cs="Consolas" w:eastAsia="Consolas" w:hAnsi="Consolas"/>
          <w:sz w:val="17"/>
          <w:szCs w:val="17"/>
        </w:rPr>
        <w:br/>
        <w:t xml:space="preserve">    "land_category": "Agricultural",</w:t>
      </w:r>
      <w:r>
        <w:rPr>
          <w:rFonts w:ascii="Consolas" w:cs="Consolas" w:eastAsia="Consolas" w:hAnsi="Consolas"/>
          <w:sz w:val="17"/>
          <w:szCs w:val="17"/>
        </w:rPr>
        <w:br/>
        <w:t xml:space="preserve">    "khata_no": 401</w:t>
      </w:r>
      <w:r>
        <w:rPr>
          <w:rFonts w:ascii="Consolas" w:cs="Consolas" w:eastAsia="Consolas" w:hAnsi="Consolas"/>
          <w:sz w:val="17"/>
          <w:szCs w:val="17"/>
        </w:rPr>
        <w:br/>
        <w:t xml:space="preserve">  }</w:t>
      </w:r>
    </w:p>
    <w:p>
      <w:pPr>
        <w:spacing w:after="160" w:line="300"/>
        <w:jc w:val="both"/>
      </w:pPr>
      <w:r>
        <w:rPr>
          <w:rFonts w:ascii="Calibri" w:cs="Calibri" w:eastAsia="Calibri" w:hAnsi="Calibri"/>
          <w:b w:val="false"/>
          <w:bCs w:val="false"/>
          <w:i w:val="false"/>
          <w:iCs w:val="false"/>
          <w:sz w:val="21"/>
          <w:szCs w:val="21"/>
        </w:rPr>
        <w:t xml:space="preserve">This JSON feature record is the bridge between document AI and GIS, and is the object that feeds every downstream layer of the system — database, Web-GIS, dashboard, and natural-language assistant alike.</w:t>
      </w:r>
    </w:p>
    <w:p>
      <w:pPr>
        <w:pStyle w:val="Heading2"/>
        <w:spacing w:after="120" w:before="260"/>
      </w:pPr>
      <w:r>
        <w:rPr>
          <w:rFonts w:ascii="Calibri" w:cs="Calibri" w:eastAsia="Calibri" w:hAnsi="Calibri"/>
          <w:b/>
          <w:bCs/>
          <w:color w:val="1F4E5F"/>
          <w:sz w:val="24"/>
          <w:szCs w:val="24"/>
        </w:rPr>
        <w:t xml:space="preserve">6.2 A necessary framing caution</w:t>
      </w:r>
    </w:p>
    <w:p>
      <w:pPr>
        <w:spacing w:after="160" w:line="300"/>
        <w:jc w:val="both"/>
      </w:pPr>
      <w:r>
        <w:rPr>
          <w:rFonts w:ascii="Calibri" w:cs="Calibri" w:eastAsia="Calibri" w:hAnsi="Calibri"/>
          <w:b w:val="false"/>
          <w:bCs w:val="false"/>
          <w:i w:val="false"/>
          <w:iCs w:val="false"/>
          <w:sz w:val="21"/>
          <w:szCs w:val="21"/>
        </w:rPr>
        <w:t xml:space="preserve">The system should never be pitched, described, or built as “AI predicts the legal boundary of a land parcel.” That framing is legally fragile. The correct framing — and the one that aligns with PS 26013's own language of spatial matching, validation, topology correction, confidence scoring, and conflict resolution — is:</w:t>
      </w:r>
    </w:p>
    <w:p>
      <w:pPr>
        <w:spacing w:after="160" w:line="300"/>
        <w:jc w:val="both"/>
      </w:pPr>
      <w:r>
        <w:rPr>
          <w:rFonts w:ascii="Calibri" w:cs="Calibri" w:eastAsia="Calibri" w:hAnsi="Calibri"/>
          <w:b/>
          <w:bCs/>
          <w:i w:val="false"/>
          <w:iCs w:val="false"/>
          <w:sz w:val="21"/>
          <w:szCs w:val="21"/>
        </w:rPr>
        <w:t xml:space="preserve">“AI proposes, extracts, and matches the probable parcel geometry, which is then validated against authoritative cadastral records and GNSS / Ground-Truth data before being treated as authoritative.”</w:t>
      </w:r>
    </w:p>
    <w:p>
      <w:pPr>
        <w:spacing w:after="160" w:line="300"/>
        <w:jc w:val="both"/>
      </w:pPr>
      <w:r>
        <w:rPr>
          <w:rFonts w:ascii="Calibri" w:cs="Calibri" w:eastAsia="Calibri" w:hAnsi="Calibri"/>
          <w:b w:val="false"/>
          <w:bCs w:val="false"/>
          <w:i w:val="false"/>
          <w:iCs w:val="false"/>
          <w:sz w:val="21"/>
          <w:szCs w:val="21"/>
        </w:rPr>
        <w:t xml:space="preserve">Every inferred boundary therefore remains advisory until a human authority (Talathi / Circle Officer / Surveyor) signs off on it — the AI accelerates and pre-validates, it does not adjudicate title.</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7. AI Confidence Scoring Framework</w:t>
      </w:r>
    </w:p>
    <w:p>
      <w:pPr>
        <w:spacing w:after="160" w:line="300"/>
        <w:jc w:val="both"/>
      </w:pPr>
      <w:r>
        <w:rPr>
          <w:rFonts w:ascii="Calibri" w:cs="Calibri" w:eastAsia="Calibri" w:hAnsi="Calibri"/>
          <w:b w:val="false"/>
          <w:bCs w:val="false"/>
          <w:i w:val="false"/>
          <w:iCs w:val="false"/>
          <w:sz w:val="21"/>
          <w:szCs w:val="21"/>
        </w:rPr>
        <w:t xml:space="preserve">Every extracted parcel carries a composite confidence score built from independent sub-scores, so low-confidence outputs are routed for human verification rather than silently published: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Sub-score</w:t>
            </w:r>
          </w:p>
        </w:tc>
        <w:tc>
          <w:tcPr>
            <w:tcW w:type="dxa" w:w="4675"/>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Example value (Survey No. 255/3)</w:t>
            </w:r>
          </w:p>
        </w:tc>
      </w:tr>
      <w:tr>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OCR Confidence</w:t>
            </w:r>
          </w:p>
        </w:tc>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98%</w:t>
            </w:r>
          </w:p>
        </w:tc>
      </w:tr>
      <w:tr>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Boundary Detection</w:t>
            </w:r>
          </w:p>
        </w:tc>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91%</w:t>
            </w:r>
          </w:p>
        </w:tc>
      </w:tr>
      <w:tr>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Spatial Matching</w:t>
            </w:r>
          </w:p>
        </w:tc>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94%</w:t>
            </w:r>
          </w:p>
        </w:tc>
      </w:tr>
      <w:tr>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Area Consistency</w:t>
            </w:r>
          </w:p>
        </w:tc>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97%</w:t>
            </w:r>
          </w:p>
        </w:tc>
      </w:tr>
      <w:tr>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GNSS Validation</w:t>
            </w:r>
          </w:p>
        </w:tc>
        <w:tc>
          <w:tcPr>
            <w:tcW w:type="dxa" w:w="4675"/>
            <w:tcMar>
              <w:top w:type="dxa" w:w="100"/>
              <w:left w:type="dxa" w:w="120"/>
              <w:bottom w:type="dxa" w:w="100"/>
              <w:right w:type="dxa" w:w="120"/>
            </w:tcMar>
          </w:tcPr>
          <w:p>
            <w:r>
              <w:rPr>
                <w:rFonts w:ascii="Calibri" w:cs="Calibri" w:eastAsia="Calibri" w:hAnsi="Calibri"/>
                <w:b w:val="false"/>
                <w:bCs w:val="false"/>
                <w:color w:val="222222"/>
                <w:sz w:val="19"/>
                <w:szCs w:val="19"/>
              </w:rPr>
              <w:t xml:space="preserve">89%</w:t>
            </w:r>
          </w:p>
        </w:tc>
      </w:tr>
      <w:tr>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Overall Confidence</w:t>
            </w:r>
          </w:p>
        </w:tc>
        <w:tc>
          <w:tcPr>
            <w:tcW w:type="dxa" w:w="4675"/>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94%</w:t>
            </w:r>
          </w:p>
        </w:tc>
      </w:tr>
    </w:tbl>
    <w:p>
      <w:pPr>
        <w:spacing w:after="160" w:line="300"/>
        <w:jc w:val="both"/>
      </w:pPr>
      <w:r>
        <w:rPr>
          <w:rFonts w:ascii="Calibri" w:cs="Calibri" w:eastAsia="Calibri" w:hAnsi="Calibri"/>
          <w:b w:val="false"/>
          <w:bCs w:val="false"/>
          <w:i w:val="false"/>
          <w:iCs w:val="false"/>
          <w:sz w:val="21"/>
          <w:szCs w:val="21"/>
        </w:rPr>
        <w:t xml:space="preserve">These scores map onto a simple, auditable action policy:</w:t>
      </w:r>
    </w:p>
    <w:p>
      <w:pPr>
        <w:pStyle w:val="ListParagraph"/>
        <w:numPr>
          <w:ilvl w:val="0"/>
          <w:numId w:val="2"/>
        </w:numPr>
        <w:spacing w:after="90"/>
      </w:pPr>
      <w:r>
        <w:rPr>
          <w:rFonts w:ascii="Calibri" w:cs="Calibri" w:eastAsia="Calibri" w:hAnsi="Calibri"/>
          <w:sz w:val="21"/>
          <w:szCs w:val="21"/>
        </w:rPr>
        <w:t xml:space="preserve">90–100% — Automatically accepted into the published golden record.</w:t>
      </w:r>
    </w:p>
    <w:p>
      <w:pPr>
        <w:pStyle w:val="ListParagraph"/>
        <w:numPr>
          <w:ilvl w:val="0"/>
          <w:numId w:val="2"/>
        </w:numPr>
        <w:spacing w:after="90"/>
      </w:pPr>
      <w:r>
        <w:rPr>
          <w:rFonts w:ascii="Calibri" w:cs="Calibri" w:eastAsia="Calibri" w:hAnsi="Calibri"/>
          <w:sz w:val="21"/>
          <w:szCs w:val="21"/>
        </w:rPr>
        <w:t xml:space="preserve">70–90% — Requires human validation before publication.</w:t>
      </w:r>
    </w:p>
    <w:p>
      <w:pPr>
        <w:pStyle w:val="ListParagraph"/>
        <w:numPr>
          <w:ilvl w:val="0"/>
          <w:numId w:val="2"/>
        </w:numPr>
        <w:spacing w:after="90"/>
      </w:pPr>
      <w:r>
        <w:rPr>
          <w:rFonts w:ascii="Calibri" w:cs="Calibri" w:eastAsia="Calibri" w:hAnsi="Calibri"/>
          <w:sz w:val="21"/>
          <w:szCs w:val="21"/>
        </w:rPr>
        <w:t xml:space="preserve">Below 70% — Requires surveyor / field intervention (Ground Truthing) before any geometry is used.</w:t>
      </w:r>
    </w:p>
    <w:p>
      <w:pPr>
        <w:spacing w:after="160" w:line="300"/>
        <w:jc w:val="both"/>
      </w:pPr>
      <w:r>
        <w:rPr>
          <w:rFonts w:ascii="Calibri" w:cs="Calibri" w:eastAsia="Calibri" w:hAnsi="Calibri"/>
          <w:b w:val="false"/>
          <w:bCs w:val="false"/>
          <w:i w:val="false"/>
          <w:iCs w:val="false"/>
          <w:sz w:val="21"/>
          <w:szCs w:val="21"/>
        </w:rPr>
        <w:t xml:space="preserve">This directly answers the “confidence scoring for integrated outputs” requirement named explicitly in PS 26013, and gives the system a legally defensible audit trail.</w:t>
      </w:r>
    </w:p>
    <w:p>
      <w:pPr>
        <w:pStyle w:val="Heading1"/>
        <w:pBdr>
          <w:bottom w:val="single" w:color="1F4E5F" w:sz="8" w:space="4"/>
        </w:pBdr>
        <w:spacing w:after="160" w:before="360"/>
      </w:pPr>
      <w:r>
        <w:rPr>
          <w:rFonts w:ascii="Calibri" w:cs="Calibri" w:eastAsia="Calibri" w:hAnsi="Calibri"/>
          <w:b/>
          <w:bCs/>
          <w:color w:val="1F4E5F"/>
          <w:sz w:val="30"/>
          <w:szCs w:val="30"/>
        </w:rPr>
        <w:t xml:space="preserve">8. Multi-Source Harmonization Engine</w:t>
      </w:r>
    </w:p>
    <w:p>
      <w:pPr>
        <w:spacing w:after="160" w:line="300"/>
        <w:jc w:val="both"/>
      </w:pPr>
      <w:r>
        <w:rPr>
          <w:rFonts w:ascii="Calibri" w:cs="Calibri" w:eastAsia="Calibri" w:hAnsi="Calibri"/>
          <w:b w:val="false"/>
          <w:bCs w:val="false"/>
          <w:i w:val="false"/>
          <w:iCs w:val="false"/>
          <w:sz w:val="21"/>
          <w:szCs w:val="21"/>
        </w:rPr>
        <w:t xml:space="preserve">The same land parcel typically appears, described slightly differently, across five or more independent sources. The harmonization engine's job is to reconcile them into one verified feature:</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7/12 Record</w:t>
      </w:r>
      <w:r>
        <w:rPr>
          <w:rFonts w:ascii="Consolas" w:cs="Consolas" w:eastAsia="Consolas" w:hAnsi="Consolas"/>
          <w:sz w:val="17"/>
          <w:szCs w:val="17"/>
        </w:rPr>
        <w:br/>
        <w:t xml:space="preserve">                          |</w:t>
      </w:r>
      <w:r>
        <w:rPr>
          <w:rFonts w:ascii="Consolas" w:cs="Consolas" w:eastAsia="Consolas" w:hAnsi="Consolas"/>
          <w:sz w:val="17"/>
          <w:szCs w:val="17"/>
        </w:rPr>
        <w:br/>
        <w:t xml:space="preserve">  Cadastral Map --&gt; SPATIAL MATCHING &lt;-- Satellite Imagery</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GNSS / Drone Survey</w:t>
      </w:r>
      <w:r>
        <w:rPr>
          <w:rFonts w:ascii="Consolas" w:cs="Consolas" w:eastAsia="Consolas" w:hAnsi="Consolas"/>
          <w:sz w:val="17"/>
          <w:szCs w:val="17"/>
        </w:rPr>
        <w:br/>
        <w:t xml:space="preserve">                          |</w:t>
      </w:r>
      <w:r>
        <w:rPr>
          <w:rFonts w:ascii="Consolas" w:cs="Consolas" w:eastAsia="Consolas" w:hAnsi="Consolas"/>
          <w:sz w:val="17"/>
          <w:szCs w:val="17"/>
        </w:rPr>
        <w:br/>
        <w:t xml:space="preserve">                          v</w:t>
      </w:r>
      <w:r>
        <w:rPr>
          <w:rFonts w:ascii="Consolas" w:cs="Consolas" w:eastAsia="Consolas" w:hAnsi="Consolas"/>
          <w:sz w:val="17"/>
          <w:szCs w:val="17"/>
        </w:rPr>
        <w:br/>
        <w:t xml:space="preserve">                 HARMONIZATION ENGINE</w:t>
      </w:r>
      <w:r>
        <w:rPr>
          <w:rFonts w:ascii="Consolas" w:cs="Consolas" w:eastAsia="Consolas" w:hAnsi="Consolas"/>
          <w:sz w:val="17"/>
          <w:szCs w:val="17"/>
        </w:rPr>
        <w:br/>
        <w:t xml:space="preserve">                          |</w:t>
      </w:r>
      <w:r>
        <w:rPr>
          <w:rFonts w:ascii="Consolas" w:cs="Consolas" w:eastAsia="Consolas" w:hAnsi="Consolas"/>
          <w:sz w:val="17"/>
          <w:szCs w:val="17"/>
        </w:rPr>
        <w:br/>
        <w:t xml:space="preserve">                          v</w:t>
      </w:r>
      <w:r>
        <w:rPr>
          <w:rFonts w:ascii="Consolas" w:cs="Consolas" w:eastAsia="Consolas" w:hAnsi="Consolas"/>
          <w:sz w:val="17"/>
          <w:szCs w:val="17"/>
        </w:rPr>
        <w:br/>
        <w:t xml:space="preserve">                  VERIFIED LAND PARCEL</w:t>
      </w:r>
    </w:p>
    <w:p>
      <w:pPr>
        <w:spacing w:after="160" w:line="300"/>
        <w:jc w:val="both"/>
      </w:pPr>
      <w:r>
        <w:rPr>
          <w:rFonts w:ascii="Calibri" w:cs="Calibri" w:eastAsia="Calibri" w:hAnsi="Calibri"/>
          <w:b w:val="false"/>
          <w:bCs w:val="false"/>
          <w:i w:val="false"/>
          <w:iCs w:val="false"/>
          <w:sz w:val="21"/>
          <w:szCs w:val="21"/>
        </w:rPr>
        <w:t xml:space="preserve">When sources disagree — e.g. a drone-derived polygon conflicts with an older cadastral sheet, or a municipal road layer clips into land the revenue record calls agricultural — the engine does not silently overwrite. It logs a conflict record retaining both geometries and their source lineage, and routes it to the appropriate revenue authority for adjudication, keeping the previously authoritative geometry live until resolved.</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9. Village Land Intelligence Dashboard and Natural-Language GIS Assistant</w:t>
      </w:r>
    </w:p>
    <w:p>
      <w:pPr>
        <w:spacing w:after="160" w:line="300"/>
        <w:jc w:val="both"/>
      </w:pPr>
      <w:r>
        <w:rPr>
          <w:rFonts w:ascii="Calibri" w:cs="Calibri" w:eastAsia="Calibri" w:hAnsi="Calibri"/>
          <w:b w:val="false"/>
          <w:bCs w:val="false"/>
          <w:i w:val="false"/>
          <w:iCs w:val="false"/>
          <w:sz w:val="21"/>
          <w:szCs w:val="21"/>
        </w:rPr>
        <w:t xml:space="preserve">Once every parcel in the pilot village is harmonized, the same golden-record database can drive a village-level summary dashboard:</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Khedi Village — Land-Use Summary (illustrative)</w:t>
      </w:r>
      <w:r>
        <w:rPr>
          <w:rFonts w:ascii="Consolas" w:cs="Consolas" w:eastAsia="Consolas" w:hAnsi="Consolas"/>
          <w:sz w:val="17"/>
          <w:szCs w:val="17"/>
        </w:rPr>
        <w:br/>
        <w:t xml:space="preserve"> </w:t>
      </w:r>
      <w:r>
        <w:rPr>
          <w:rFonts w:ascii="Consolas" w:cs="Consolas" w:eastAsia="Consolas" w:hAnsi="Consolas"/>
          <w:sz w:val="17"/>
          <w:szCs w:val="17"/>
        </w:rPr>
        <w:br/>
        <w:t xml:space="preserve">  Agricultural        ################       850 Ha</w:t>
      </w:r>
      <w:r>
        <w:rPr>
          <w:rFonts w:ascii="Consolas" w:cs="Consolas" w:eastAsia="Consolas" w:hAnsi="Consolas"/>
          <w:sz w:val="17"/>
          <w:szCs w:val="17"/>
        </w:rPr>
        <w:br/>
        <w:t xml:space="preserve">  Residential         ####                   220 Ha</w:t>
      </w:r>
      <w:r>
        <w:rPr>
          <w:rFonts w:ascii="Consolas" w:cs="Consolas" w:eastAsia="Consolas" w:hAnsi="Consolas"/>
          <w:sz w:val="17"/>
          <w:szCs w:val="17"/>
        </w:rPr>
        <w:br/>
        <w:t xml:space="preserve">  Government          ##                      80 Ha</w:t>
      </w:r>
      <w:r>
        <w:rPr>
          <w:rFonts w:ascii="Consolas" w:cs="Consolas" w:eastAsia="Consolas" w:hAnsi="Consolas"/>
          <w:sz w:val="17"/>
          <w:szCs w:val="17"/>
        </w:rPr>
        <w:br/>
        <w:t xml:space="preserve">  Water Bodies         #                      35 Ha</w:t>
      </w:r>
      <w:r>
        <w:rPr>
          <w:rFonts w:ascii="Consolas" w:cs="Consolas" w:eastAsia="Consolas" w:hAnsi="Consolas"/>
          <w:sz w:val="17"/>
          <w:szCs w:val="17"/>
        </w:rPr>
        <w:br/>
        <w:t xml:space="preserve">  Roads / Infra         #                     65 Ha</w:t>
      </w:r>
      <w:r>
        <w:rPr>
          <w:rFonts w:ascii="Consolas" w:cs="Consolas" w:eastAsia="Consolas" w:hAnsi="Consolas"/>
          <w:sz w:val="17"/>
          <w:szCs w:val="17"/>
        </w:rPr>
        <w:br/>
        <w:t xml:space="preserve">  ------------------------------------------------</w:t>
      </w:r>
      <w:r>
        <w:rPr>
          <w:rFonts w:ascii="Consolas" w:cs="Consolas" w:eastAsia="Consolas" w:hAnsi="Consolas"/>
          <w:sz w:val="17"/>
          <w:szCs w:val="17"/>
        </w:rPr>
        <w:br/>
        <w:t xml:space="preserve">  Total                                      1250 Ha</w:t>
      </w:r>
    </w:p>
    <w:p>
      <w:pPr>
        <w:spacing w:after="160" w:line="300"/>
        <w:jc w:val="both"/>
      </w:pPr>
      <w:r>
        <w:rPr>
          <w:rFonts w:ascii="Calibri" w:cs="Calibri" w:eastAsia="Calibri" w:hAnsi="Calibri"/>
          <w:b w:val="false"/>
          <w:bCs w:val="false"/>
          <w:i w:val="false"/>
          <w:iCs w:val="false"/>
          <w:sz w:val="21"/>
          <w:szCs w:val="21"/>
        </w:rPr>
        <w:t xml:space="preserve">Instead of requiring officials to understand GIS query syntax, the same database can sit behind a natural-language interface — a GeoAI + retrieval-augmented (RAG) assistant grounded in the PostGIS store, not a general chatbot loosely attached to a map:</w:t>
      </w:r>
    </w:p>
    <w:p>
      <w:pPr>
        <w:pStyle w:val="Heading3"/>
        <w:spacing w:after="100" w:before="200"/>
      </w:pPr>
      <w:r>
        <w:rPr>
          <w:rFonts w:ascii="Calibri" w:cs="Calibri" w:eastAsia="Calibri" w:hAnsi="Calibri"/>
          <w:b/>
          <w:bCs/>
          <w:color w:val="333333"/>
          <w:sz w:val="22"/>
          <w:szCs w:val="22"/>
        </w:rPr>
        <w:t xml:space="preserve">Example query 1</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User: "Show agricultural land around Khedi village within 500</w:t>
      </w:r>
      <w:r>
        <w:rPr>
          <w:rFonts w:ascii="Consolas" w:cs="Consolas" w:eastAsia="Consolas" w:hAnsi="Consolas"/>
          <w:sz w:val="17"/>
          <w:szCs w:val="17"/>
        </w:rPr>
        <w:br/>
        <w:t xml:space="preserve">         metres of the main road."</w:t>
      </w:r>
      <w:r>
        <w:rPr>
          <w:rFonts w:ascii="Consolas" w:cs="Consolas" w:eastAsia="Consolas" w:hAnsi="Consolas"/>
          <w:sz w:val="17"/>
          <w:szCs w:val="17"/>
        </w:rPr>
        <w:br/>
        <w:t xml:space="preserve"> </w:t>
      </w:r>
      <w:r>
        <w:rPr>
          <w:rFonts w:ascii="Consolas" w:cs="Consolas" w:eastAsia="Consolas" w:hAnsi="Consolas"/>
          <w:sz w:val="17"/>
          <w:szCs w:val="17"/>
        </w:rPr>
        <w:br/>
        <w:t xml:space="preserve">  AI:   Query understood — Village: Khedi | Category: Agricultural</w:t>
      </w:r>
      <w:r>
        <w:rPr>
          <w:rFonts w:ascii="Consolas" w:cs="Consolas" w:eastAsia="Consolas" w:hAnsi="Consolas"/>
          <w:sz w:val="17"/>
          <w:szCs w:val="17"/>
        </w:rPr>
        <w:br/>
        <w:t xml:space="preserve">        | Buffer: 500 m | Reference: Main Road</w:t>
      </w:r>
      <w:r>
        <w:rPr>
          <w:rFonts w:ascii="Consolas" w:cs="Consolas" w:eastAsia="Consolas" w:hAnsi="Consolas"/>
          <w:sz w:val="17"/>
          <w:szCs w:val="17"/>
        </w:rPr>
        <w:br/>
        <w:t xml:space="preserve">        Found: 137 parcels | Total area: 182.4 Ha</w:t>
      </w:r>
      <w:r>
        <w:rPr>
          <w:rFonts w:ascii="Consolas" w:cs="Consolas" w:eastAsia="Consolas" w:hAnsi="Consolas"/>
          <w:sz w:val="17"/>
          <w:szCs w:val="17"/>
        </w:rPr>
        <w:br/>
        <w:t xml:space="preserve">        [Map highlights matching parcels]</w:t>
      </w:r>
    </w:p>
    <w:p>
      <w:pPr>
        <w:pStyle w:val="Heading3"/>
        <w:spacing w:after="100" w:before="200"/>
      </w:pPr>
      <w:r>
        <w:rPr>
          <w:rFonts w:ascii="Calibri" w:cs="Calibri" w:eastAsia="Calibri" w:hAnsi="Calibri"/>
          <w:b/>
          <w:bCs/>
          <w:color w:val="333333"/>
          <w:sz w:val="22"/>
          <w:szCs w:val="22"/>
        </w:rPr>
        <w:t xml:space="preserve">Example query 2</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User: "Which records have a cadastral area that differs</w:t>
      </w:r>
      <w:r>
        <w:rPr>
          <w:rFonts w:ascii="Consolas" w:cs="Consolas" w:eastAsia="Consolas" w:hAnsi="Consolas"/>
          <w:sz w:val="17"/>
          <w:szCs w:val="17"/>
        </w:rPr>
        <w:br/>
        <w:t xml:space="preserve">         significantly from the latest geospatial estimate?"</w:t>
      </w:r>
      <w:r>
        <w:rPr>
          <w:rFonts w:ascii="Consolas" w:cs="Consolas" w:eastAsia="Consolas" w:hAnsi="Consolas"/>
          <w:sz w:val="17"/>
          <w:szCs w:val="17"/>
        </w:rPr>
        <w:br/>
        <w:t xml:space="preserve"> </w:t>
      </w:r>
      <w:r>
        <w:rPr>
          <w:rFonts w:ascii="Consolas" w:cs="Consolas" w:eastAsia="Consolas" w:hAnsi="Consolas"/>
          <w:sz w:val="17"/>
          <w:szCs w:val="17"/>
        </w:rPr>
        <w:br/>
        <w:t xml:space="preserve">  AI:   23 potential discrepancies found</w:t>
      </w:r>
      <w:r>
        <w:rPr>
          <w:rFonts w:ascii="Consolas" w:cs="Consolas" w:eastAsia="Consolas" w:hAnsi="Consolas"/>
          <w:sz w:val="17"/>
          <w:szCs w:val="17"/>
        </w:rPr>
        <w:br/>
        <w:t xml:space="preserve">        255/3   Difference: 8.2%</w:t>
      </w:r>
      <w:r>
        <w:rPr>
          <w:rFonts w:ascii="Consolas" w:cs="Consolas" w:eastAsia="Consolas" w:hAnsi="Consolas"/>
          <w:sz w:val="17"/>
          <w:szCs w:val="17"/>
        </w:rPr>
        <w:br/>
        <w:t xml:space="preserve">        256/2   Difference: 11.4%</w:t>
      </w:r>
      <w:r>
        <w:rPr>
          <w:rFonts w:ascii="Consolas" w:cs="Consolas" w:eastAsia="Consolas" w:hAnsi="Consolas"/>
          <w:sz w:val="17"/>
          <w:szCs w:val="17"/>
        </w:rPr>
        <w:br/>
        <w:t xml:space="preserve">        261/1   Difference: 17.8%</w:t>
      </w:r>
      <w:r>
        <w:rPr>
          <w:rFonts w:ascii="Consolas" w:cs="Consolas" w:eastAsia="Consolas" w:hAnsi="Consolas"/>
          <w:sz w:val="17"/>
          <w:szCs w:val="17"/>
        </w:rPr>
        <w:br/>
        <w:t xml:space="preserve">        ...  [routed to confidence-scoring / GT queue]</w:t>
      </w:r>
    </w:p>
    <w:p>
      <w:pPr>
        <w:pStyle w:val="Heading3"/>
        <w:spacing w:after="100" w:before="200"/>
      </w:pPr>
      <w:r>
        <w:rPr>
          <w:rFonts w:ascii="Calibri" w:cs="Calibri" w:eastAsia="Calibri" w:hAnsi="Calibri"/>
          <w:b/>
          <w:bCs/>
          <w:color w:val="333333"/>
          <w:sz w:val="22"/>
          <w:szCs w:val="22"/>
        </w:rPr>
        <w:t xml:space="preserve">Example query 3</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User: "Generate a village development summary."</w:t>
      </w:r>
      <w:r>
        <w:rPr>
          <w:rFonts w:ascii="Consolas" w:cs="Consolas" w:eastAsia="Consolas" w:hAnsi="Consolas"/>
          <w:sz w:val="17"/>
          <w:szCs w:val="17"/>
        </w:rPr>
        <w:br/>
        <w:t xml:space="preserve"> </w:t>
      </w:r>
      <w:r>
        <w:rPr>
          <w:rFonts w:ascii="Consolas" w:cs="Consolas" w:eastAsia="Consolas" w:hAnsi="Consolas"/>
          <w:sz w:val="17"/>
          <w:szCs w:val="17"/>
        </w:rPr>
        <w:br/>
        <w:t xml:space="preserve">  AI:   Khedi Village Summary</w:t>
      </w:r>
      <w:r>
        <w:rPr>
          <w:rFonts w:ascii="Consolas" w:cs="Consolas" w:eastAsia="Consolas" w:hAnsi="Consolas"/>
          <w:sz w:val="17"/>
          <w:szCs w:val="17"/>
        </w:rPr>
        <w:br/>
        <w:t xml:space="preserve">        Agricultural land        : XX Ha</w:t>
      </w:r>
      <w:r>
        <w:rPr>
          <w:rFonts w:ascii="Consolas" w:cs="Consolas" w:eastAsia="Consolas" w:hAnsi="Consolas"/>
          <w:sz w:val="17"/>
          <w:szCs w:val="17"/>
        </w:rPr>
        <w:br/>
        <w:t xml:space="preserve">        Residential land         : XX Ha</w:t>
      </w:r>
      <w:r>
        <w:rPr>
          <w:rFonts w:ascii="Consolas" w:cs="Consolas" w:eastAsia="Consolas" w:hAnsi="Consolas"/>
          <w:sz w:val="17"/>
          <w:szCs w:val="17"/>
        </w:rPr>
        <w:br/>
        <w:t xml:space="preserve">        Government land          : XX Ha</w:t>
      </w:r>
      <w:r>
        <w:rPr>
          <w:rFonts w:ascii="Consolas" w:cs="Consolas" w:eastAsia="Consolas" w:hAnsi="Consolas"/>
          <w:sz w:val="17"/>
          <w:szCs w:val="17"/>
        </w:rPr>
        <w:br/>
        <w:t xml:space="preserve">        Water bodies             : XX Ha</w:t>
      </w:r>
      <w:r>
        <w:rPr>
          <w:rFonts w:ascii="Consolas" w:cs="Consolas" w:eastAsia="Consolas" w:hAnsi="Consolas"/>
          <w:sz w:val="17"/>
          <w:szCs w:val="17"/>
        </w:rPr>
        <w:br/>
        <w:t xml:space="preserve">        Land-use conversion      : XX Ha</w:t>
      </w:r>
      <w:r>
        <w:rPr>
          <w:rFonts w:ascii="Consolas" w:cs="Consolas" w:eastAsia="Consolas" w:hAnsi="Consolas"/>
          <w:sz w:val="17"/>
          <w:szCs w:val="17"/>
        </w:rPr>
        <w:br/>
        <w:t xml:space="preserve">        Spatial conflicts        : XX</w:t>
      </w:r>
      <w:r>
        <w:rPr>
          <w:rFonts w:ascii="Consolas" w:cs="Consolas" w:eastAsia="Consolas" w:hAnsi="Consolas"/>
          <w:sz w:val="17"/>
          <w:szCs w:val="17"/>
        </w:rPr>
        <w:br/>
        <w:t xml:space="preserve">        Priority infra zones     : XX</w:t>
      </w:r>
    </w:p>
    <w:p>
      <w:pPr>
        <w:spacing w:after="160" w:line="300"/>
        <w:jc w:val="both"/>
      </w:pPr>
      <w:r>
        <w:rPr>
          <w:rFonts w:ascii="Calibri" w:cs="Calibri" w:eastAsia="Calibri" w:hAnsi="Calibri"/>
          <w:b w:val="false"/>
          <w:bCs w:val="false"/>
          <w:i w:val="false"/>
          <w:iCs w:val="false"/>
          <w:sz w:val="21"/>
          <w:szCs w:val="21"/>
        </w:rPr>
        <w:t xml:space="preserve">This is the difference between demonstrating a GIS map and demonstrating an AI-powered land-intelligence platform — the assistant queries the harmonized spatial database (GeoAI + RAG over PostGIS), it does not generate answers from unstructured text alone.</w:t>
      </w:r>
    </w:p>
    <w:p>
      <w:pPr>
        <w:pStyle w:val="Heading1"/>
        <w:pBdr>
          <w:bottom w:val="single" w:color="1F4E5F" w:sz="8" w:space="4"/>
        </w:pBdr>
        <w:spacing w:after="160" w:before="360"/>
      </w:pPr>
      <w:r>
        <w:rPr>
          <w:rFonts w:ascii="Calibri" w:cs="Calibri" w:eastAsia="Calibri" w:hAnsi="Calibri"/>
          <w:b/>
          <w:bCs/>
          <w:color w:val="1F4E5F"/>
          <w:sz w:val="30"/>
          <w:szCs w:val="30"/>
        </w:rPr>
        <w:t xml:space="preserve">10. Historical Land-Use Change Detection</w:t>
      </w:r>
    </w:p>
    <w:p>
      <w:pPr>
        <w:spacing w:after="160" w:line="300"/>
        <w:jc w:val="both"/>
      </w:pPr>
      <w:r>
        <w:rPr>
          <w:rFonts w:ascii="Calibri" w:cs="Calibri" w:eastAsia="Calibri" w:hAnsi="Calibri"/>
          <w:b w:val="false"/>
          <w:bCs w:val="false"/>
          <w:i w:val="false"/>
          <w:iCs w:val="false"/>
          <w:sz w:val="21"/>
          <w:szCs w:val="21"/>
        </w:rPr>
        <w:t xml:space="preserve">With a time series of imagery for the same village — for example open satellite imagery from 2018, 2021 and 2024, layered against a 2026 drone/ORI capture — a temporal classification model can detect land-use transitions over time:</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2018 Satellite -&gt; 2021 Satellite -&gt; 2024 Satellite -&gt; 2026 Drone</w:t>
      </w:r>
      <w:r>
        <w:rPr>
          <w:rFonts w:ascii="Consolas" w:cs="Consolas" w:eastAsia="Consolas" w:hAnsi="Consolas"/>
          <w:sz w:val="17"/>
          <w:szCs w:val="17"/>
        </w:rPr>
        <w:br/>
        <w:t xml:space="preserve"> </w:t>
      </w:r>
      <w:r>
        <w:rPr>
          <w:rFonts w:ascii="Consolas" w:cs="Consolas" w:eastAsia="Consolas" w:hAnsi="Consolas"/>
          <w:sz w:val="17"/>
          <w:szCs w:val="17"/>
        </w:rPr>
        <w:br/>
        <w:t xml:space="preserve">  Example transition:</w:t>
      </w:r>
      <w:r>
        <w:rPr>
          <w:rFonts w:ascii="Consolas" w:cs="Consolas" w:eastAsia="Consolas" w:hAnsi="Consolas"/>
          <w:sz w:val="17"/>
          <w:szCs w:val="17"/>
        </w:rPr>
        <w:br/>
        <w:t xml:space="preserve">  Agricultural -&gt; Partially built -&gt; Residential</w:t>
      </w:r>
      <w:r>
        <w:rPr>
          <w:rFonts w:ascii="Consolas" w:cs="Consolas" w:eastAsia="Consolas" w:hAnsi="Consolas"/>
          <w:sz w:val="17"/>
          <w:szCs w:val="17"/>
        </w:rPr>
        <w:br/>
        <w:t xml:space="preserve"> </w:t>
      </w:r>
      <w:r>
        <w:rPr>
          <w:rFonts w:ascii="Consolas" w:cs="Consolas" w:eastAsia="Consolas" w:hAnsi="Consolas"/>
          <w:sz w:val="17"/>
          <w:szCs w:val="17"/>
        </w:rPr>
        <w:br/>
        <w:t xml:space="preserve">  Example parcel-level transition:</w:t>
      </w:r>
      <w:r>
        <w:rPr>
          <w:rFonts w:ascii="Consolas" w:cs="Consolas" w:eastAsia="Consolas" w:hAnsi="Consolas"/>
          <w:sz w:val="17"/>
          <w:szCs w:val="17"/>
        </w:rPr>
        <w:br/>
        <w:t xml:space="preserve">  Original parcel -&gt; Subdivision -&gt; New structures</w:t>
      </w:r>
    </w:p>
    <w:p>
      <w:pPr>
        <w:spacing w:after="160" w:line="300"/>
        <w:jc w:val="both"/>
      </w:pPr>
      <w:r>
        <w:rPr>
          <w:rFonts w:ascii="Calibri" w:cs="Calibri" w:eastAsia="Calibri" w:hAnsi="Calibri"/>
          <w:b w:val="false"/>
          <w:bCs w:val="false"/>
          <w:i w:val="false"/>
          <w:iCs w:val="false"/>
          <w:sz w:val="21"/>
          <w:szCs w:val="21"/>
        </w:rPr>
        <w:t xml:space="preserve">Surfacing this as a simple year-by-year record per parcel is directly useful for rural development planning, peri-urban expansion monitoring, and identifying where property-tax or infrastructure records have fallen out of date relative to actual ground conditions.</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11. Pilot Demonstration Storyboard</w:t>
      </w:r>
    </w:p>
    <w:p>
      <w:pPr>
        <w:spacing w:after="160" w:line="300"/>
        <w:jc w:val="both"/>
      </w:pPr>
      <w:r>
        <w:rPr>
          <w:rFonts w:ascii="Calibri" w:cs="Calibri" w:eastAsia="Calibri" w:hAnsi="Calibri"/>
          <w:b w:val="false"/>
          <w:bCs w:val="false"/>
          <w:i w:val="false"/>
          <w:iCs w:val="false"/>
          <w:sz w:val="21"/>
          <w:szCs w:val="21"/>
        </w:rPr>
        <w:t xml:space="preserve">The reference document doubles as a ready-made, verifiable demo script for a hackathon presentation. All names are anonymized; only Survey/Khata identifiers and areas — which are public administrative data, not personal data — are used.</w:t>
      </w:r>
    </w:p>
    <w:p>
      <w:pPr>
        <w:pStyle w:val="ListParagraph"/>
        <w:numPr>
          <w:ilvl w:val="0"/>
          <w:numId w:val="2"/>
        </w:numPr>
        <w:spacing w:after="90"/>
      </w:pPr>
      <w:r>
        <w:rPr>
          <w:rFonts w:ascii="Calibri" w:cs="Calibri" w:eastAsia="Calibri" w:hAnsi="Calibri"/>
          <w:sz w:val="21"/>
          <w:szCs w:val="21"/>
        </w:rPr>
        <w:t xml:space="preserve">Step 1 — Upload the scanned Plot Report (PDF/image) for Village Khedi.</w:t>
      </w:r>
    </w:p>
    <w:p>
      <w:pPr>
        <w:pStyle w:val="ListParagraph"/>
        <w:numPr>
          <w:ilvl w:val="0"/>
          <w:numId w:val="2"/>
        </w:numPr>
        <w:spacing w:after="90"/>
      </w:pPr>
      <w:r>
        <w:rPr>
          <w:rFonts w:ascii="Calibri" w:cs="Calibri" w:eastAsia="Calibri" w:hAnsi="Calibri"/>
          <w:sz w:val="21"/>
          <w:szCs w:val="21"/>
        </w:rPr>
        <w:t xml:space="preserve">Step 2 — AI detects: Village = Khedi, Taluka = Narkhed, District = Nagpur; Survey parcels 255/1, 255/2, 255/3.</w:t>
      </w:r>
    </w:p>
    <w:p>
      <w:pPr>
        <w:pStyle w:val="ListParagraph"/>
        <w:numPr>
          <w:ilvl w:val="0"/>
          <w:numId w:val="2"/>
        </w:numPr>
        <w:spacing w:after="90"/>
      </w:pPr>
      <w:r>
        <w:rPr>
          <w:rFonts w:ascii="Calibri" w:cs="Calibri" w:eastAsia="Calibri" w:hAnsi="Calibri"/>
          <w:sz w:val="21"/>
          <w:szCs w:val="21"/>
        </w:rPr>
        <w:t xml:space="preserve">Step 3 — AI extracts sub-division areas: 255/1 = 1.4000 Ha, 255/2 = 1.2000 Ha, 255/3 = 1.2000 Ha — independently checkable against the known record, since these figures are already published and correct.</w:t>
      </w:r>
    </w:p>
    <w:p>
      <w:pPr>
        <w:pStyle w:val="ListParagraph"/>
        <w:numPr>
          <w:ilvl w:val="0"/>
          <w:numId w:val="2"/>
        </w:numPr>
        <w:spacing w:after="90"/>
      </w:pPr>
      <w:r>
        <w:rPr>
          <w:rFonts w:ascii="Calibri" w:cs="Calibri" w:eastAsia="Calibri" w:hAnsi="Calibri"/>
          <w:sz w:val="21"/>
          <w:szCs w:val="21"/>
        </w:rPr>
        <w:t xml:space="preserve">Step 4 — System infers the corresponding sub-division polygons inside the composite Survey No. 255 boundary, constrained to match these exact areas.</w:t>
      </w:r>
    </w:p>
    <w:p>
      <w:pPr>
        <w:pStyle w:val="ListParagraph"/>
        <w:numPr>
          <w:ilvl w:val="0"/>
          <w:numId w:val="2"/>
        </w:numPr>
        <w:spacing w:after="90"/>
      </w:pPr>
      <w:r>
        <w:rPr>
          <w:rFonts w:ascii="Calibri" w:cs="Calibri" w:eastAsia="Calibri" w:hAnsi="Calibri"/>
          <w:sz w:val="21"/>
          <w:szCs w:val="21"/>
        </w:rPr>
        <w:t xml:space="preserve">Step 5 — The Web-GIS map automatically highlights 255/3 as a distinct, clickable polygon (rather than the single undivided shaded blob in the source document).</w:t>
      </w:r>
    </w:p>
    <w:p>
      <w:pPr>
        <w:pStyle w:val="ListParagraph"/>
        <w:numPr>
          <w:ilvl w:val="0"/>
          <w:numId w:val="2"/>
        </w:numPr>
        <w:spacing w:after="90"/>
      </w:pPr>
      <w:r>
        <w:rPr>
          <w:rFonts w:ascii="Calibri" w:cs="Calibri" w:eastAsia="Calibri" w:hAnsi="Calibri"/>
          <w:sz w:val="21"/>
          <w:szCs w:val="21"/>
        </w:rPr>
        <w:t xml:space="preserve">Step 6 — Clicking the polygon opens a feature panel:</w:t>
      </w:r>
    </w:p>
    <w:p>
      <w:pPr>
        <w:keepNext w:val="false"/>
        <w:keepLines/>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sz w:val="17"/>
          <w:szCs w:val="17"/>
        </w:rPr>
        <w:t xml:space="preserve">  +--------------------------------+</w:t>
      </w:r>
      <w:r>
        <w:rPr>
          <w:rFonts w:ascii="Consolas" w:cs="Consolas" w:eastAsia="Consolas" w:hAnsi="Consolas"/>
          <w:sz w:val="17"/>
          <w:szCs w:val="17"/>
        </w:rPr>
        <w:br/>
        <w:t xml:space="preserve">  | SURVEY NO. 255/3                |</w:t>
      </w:r>
      <w:r>
        <w:rPr>
          <w:rFonts w:ascii="Consolas" w:cs="Consolas" w:eastAsia="Consolas" w:hAnsi="Consolas"/>
          <w:sz w:val="17"/>
          <w:szCs w:val="17"/>
        </w:rPr>
        <w:br/>
        <w:t xml:space="preserve">  +--------------------------------+</w:t>
      </w:r>
      <w:r>
        <w:rPr>
          <w:rFonts w:ascii="Consolas" w:cs="Consolas" w:eastAsia="Consolas" w:hAnsi="Consolas"/>
          <w:sz w:val="17"/>
          <w:szCs w:val="17"/>
        </w:rPr>
        <w:br/>
        <w:t xml:space="preserve">  | Area          1.2000 Ha         |</w:t>
      </w:r>
      <w:r>
        <w:rPr>
          <w:rFonts w:ascii="Consolas" w:cs="Consolas" w:eastAsia="Consolas" w:hAnsi="Consolas"/>
          <w:sz w:val="17"/>
          <w:szCs w:val="17"/>
        </w:rPr>
        <w:br/>
        <w:t xml:space="preserve">  | Category      Agricultural      |</w:t>
      </w:r>
      <w:r>
        <w:rPr>
          <w:rFonts w:ascii="Consolas" w:cs="Consolas" w:eastAsia="Consolas" w:hAnsi="Consolas"/>
          <w:sz w:val="17"/>
          <w:szCs w:val="17"/>
        </w:rPr>
        <w:br/>
        <w:t xml:space="preserve">  | Khata         401               |</w:t>
      </w:r>
      <w:r>
        <w:rPr>
          <w:rFonts w:ascii="Consolas" w:cs="Consolas" w:eastAsia="Consolas" w:hAnsi="Consolas"/>
          <w:sz w:val="17"/>
          <w:szCs w:val="17"/>
        </w:rPr>
        <w:br/>
        <w:t xml:space="preserve">  | Village       Khedi             |</w:t>
      </w:r>
      <w:r>
        <w:rPr>
          <w:rFonts w:ascii="Consolas" w:cs="Consolas" w:eastAsia="Consolas" w:hAnsi="Consolas"/>
          <w:sz w:val="17"/>
          <w:szCs w:val="17"/>
        </w:rPr>
        <w:br/>
        <w:t xml:space="preserve">  | Taluka        Narkhed           |</w:t>
      </w:r>
      <w:r>
        <w:rPr>
          <w:rFonts w:ascii="Consolas" w:cs="Consolas" w:eastAsia="Consolas" w:hAnsi="Consolas"/>
          <w:sz w:val="17"/>
          <w:szCs w:val="17"/>
        </w:rPr>
        <w:br/>
        <w:t xml:space="preserve">  | District      Nagpur            |</w:t>
      </w:r>
      <w:r>
        <w:rPr>
          <w:rFonts w:ascii="Consolas" w:cs="Consolas" w:eastAsia="Consolas" w:hAnsi="Consolas"/>
          <w:sz w:val="17"/>
          <w:szCs w:val="17"/>
        </w:rPr>
        <w:br/>
        <w:t xml:space="preserve">  |                                  |</w:t>
      </w:r>
      <w:r>
        <w:rPr>
          <w:rFonts w:ascii="Consolas" w:cs="Consolas" w:eastAsia="Consolas" w:hAnsi="Consolas"/>
          <w:sz w:val="17"/>
          <w:szCs w:val="17"/>
        </w:rPr>
        <w:br/>
        <w:t xml:space="preserve">  | AI Confidence    94.7%          |</w:t>
      </w:r>
      <w:r>
        <w:rPr>
          <w:rFonts w:ascii="Consolas" w:cs="Consolas" w:eastAsia="Consolas" w:hAnsi="Consolas"/>
          <w:sz w:val="17"/>
          <w:szCs w:val="17"/>
        </w:rPr>
        <w:br/>
        <w:t xml:space="preserve">  |                                  |</w:t>
      </w:r>
      <w:r>
        <w:rPr>
          <w:rFonts w:ascii="Consolas" w:cs="Consolas" w:eastAsia="Consolas" w:hAnsi="Consolas"/>
          <w:sz w:val="17"/>
          <w:szCs w:val="17"/>
        </w:rPr>
        <w:br/>
        <w:t xml:space="preserve">  | [View 7/12]  [View History]     |</w:t>
      </w:r>
      <w:r>
        <w:rPr>
          <w:rFonts w:ascii="Consolas" w:cs="Consolas" w:eastAsia="Consolas" w:hAnsi="Consolas"/>
          <w:sz w:val="17"/>
          <w:szCs w:val="17"/>
        </w:rPr>
        <w:br/>
        <w:t xml:space="preserve">  | [View Satellite] [Run Validation]|</w:t>
      </w:r>
      <w:r>
        <w:rPr>
          <w:rFonts w:ascii="Consolas" w:cs="Consolas" w:eastAsia="Consolas" w:hAnsi="Consolas"/>
          <w:sz w:val="17"/>
          <w:szCs w:val="17"/>
        </w:rPr>
        <w:br/>
        <w:t xml:space="preserve">  +--------------------------------+</w:t>
      </w:r>
    </w:p>
    <w:p>
      <w:pPr>
        <w:spacing w:after="160" w:line="300"/>
        <w:jc w:val="both"/>
      </w:pPr>
      <w:r>
        <w:rPr>
          <w:rFonts w:ascii="Calibri" w:cs="Calibri" w:eastAsia="Calibri" w:hAnsi="Calibri"/>
          <w:b w:val="false"/>
          <w:bCs w:val="false"/>
          <w:i w:val="false"/>
          <w:iCs w:val="false"/>
          <w:sz w:val="21"/>
          <w:szCs w:val="21"/>
        </w:rPr>
        <w:t xml:space="preserve">The presentation can then move from single-parcel inspection into the natural-language assistant queries shown in Section 9, and finish on the harmonization/conflict-detection view from Section 8 — demonstrating the full pipeline end-to-end on one real, checkable village rather than describing it only in the abstract.</w:t>
      </w:r>
    </w:p>
    <w:p>
      <w:pPr>
        <w:pStyle w:val="Heading1"/>
        <w:pBdr>
          <w:bottom w:val="single" w:color="1F4E5F" w:sz="8" w:space="4"/>
        </w:pBdr>
        <w:spacing w:after="160" w:before="360"/>
      </w:pPr>
      <w:r>
        <w:rPr>
          <w:rFonts w:ascii="Calibri" w:cs="Calibri" w:eastAsia="Calibri" w:hAnsi="Calibri"/>
          <w:b/>
          <w:bCs/>
          <w:color w:val="1F4E5F"/>
          <w:sz w:val="30"/>
          <w:szCs w:val="30"/>
        </w:rPr>
        <w:t xml:space="preserve">12.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615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Recommended Technologies</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Data ingestion / ETL</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Apache Airflow / NiFi, GDAL/OGR</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Image preprocessing &amp; georeferencing</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OpenCV, GDAL, PROJ, Rasterio</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Computer vision / segmentation</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PyTorch, Segment Anything Model (fine-tuned), U-Net / DeepLabV3+, Detectron2</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Sub-division partitioning</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Constrained optimization (SciPy / OR-Tools) + Graph Neural Network (PyTorch Geometric)</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OCR / document AI</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Tesseract or cloud OCR with Devanagari support, layout analysis, IndicBERT / IndicNLP, spaCy</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Record linkage / entity resolution</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Splink, dedupe.io, Neo4j graph for owner–parcel–khata relationships</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Geospatial database</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PostgreSQL + PostGIS</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GeoAI / spatial analytics</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GeoPandas, Shapely, QGIS Server, Kepler.gl</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Interoperability / API</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GeoServer or MapServer (OGC WMS/WFS), FastAPI/Django REST, STAC catalog for imagery</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Backend services</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Python + FastAPI</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Web-GIS front-end</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React + MapLibre / Mapbox GL / OpenLayers, deck.gl for large-parcel rendering</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Natural-language assistant</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LLM + RAG grounded in PostGIS → spatial query generator → map response</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Imagery sources</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Sentinel-2 / other legally usable open satellite imagery; drone ORI where departmentally available</w:t>
            </w:r>
          </w:p>
        </w:tc>
      </w:tr>
      <w:tr>
        <w:tc>
          <w:tcPr>
            <w:tcW w:type="dxa" w:w="32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Cloud / infra</w:t>
            </w:r>
          </w:p>
        </w:tc>
        <w:tc>
          <w:tcPr>
            <w:tcW w:type="dxa" w:w="61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Cloud object storage + managed PostGIS, containerized microservices (Docker/Kubernetes) or GoI cloud (MeghRaj/NIC)</w:t>
            </w:r>
          </w:p>
        </w:tc>
      </w:tr>
      <w:tr>
        <w:tc>
          <w:tcPr>
            <w:tcW w:type="dxa" w:w="3200"/>
            <w:tcMar>
              <w:top w:type="dxa" w:w="100"/>
              <w:left w:type="dxa" w:w="120"/>
              <w:bottom w:type="dxa" w:w="100"/>
              <w:right w:type="dxa" w:w="120"/>
            </w:tcMar>
          </w:tcPr>
          <w:p>
            <w:r>
              <w:rPr>
                <w:rFonts w:ascii="Calibri" w:cs="Calibri" w:eastAsia="Calibri" w:hAnsi="Calibri"/>
                <w:b w:val="false"/>
                <w:bCs w:val="false"/>
                <w:color w:val="222222"/>
                <w:sz w:val="19"/>
                <w:szCs w:val="19"/>
              </w:rPr>
              <w:t xml:space="preserve">MLOps</w:t>
            </w:r>
          </w:p>
        </w:tc>
        <w:tc>
          <w:tcPr>
            <w:tcW w:type="dxa" w:w="6150"/>
            <w:tcMar>
              <w:top w:type="dxa" w:w="100"/>
              <w:left w:type="dxa" w:w="120"/>
              <w:bottom w:type="dxa" w:w="100"/>
              <w:right w:type="dxa" w:w="120"/>
            </w:tcMar>
          </w:tcPr>
          <w:p>
            <w:r>
              <w:rPr>
                <w:rFonts w:ascii="Calibri" w:cs="Calibri" w:eastAsia="Calibri" w:hAnsi="Calibri"/>
                <w:b w:val="false"/>
                <w:bCs w:val="false"/>
                <w:color w:val="222222"/>
                <w:sz w:val="19"/>
                <w:szCs w:val="19"/>
              </w:rPr>
              <w:t xml:space="preserve">MLflow (experiment tracking), DVC (data/label versioning)</w:t>
            </w:r>
          </w:p>
        </w:tc>
      </w:tr>
    </w:tbl>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13. Expected Impact, Mapped to PS 26013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Problem-statement requirement</w:t>
            </w:r>
          </w:p>
        </w:tc>
        <w:tc>
          <w:tcPr>
            <w:tcW w:type="dxa" w:w="5550"/>
            <w:shd w:fill="1F4E5F" w:val="clear"/>
            <w:tcMar>
              <w:top w:type="dxa" w:w="100"/>
              <w:left w:type="dxa" w:w="120"/>
              <w:bottom w:type="dxa" w:w="100"/>
              <w:right w:type="dxa" w:w="120"/>
            </w:tcMar>
          </w:tcPr>
          <w:p>
            <w:r>
              <w:rPr>
                <w:rFonts w:ascii="Calibri" w:cs="Calibri" w:eastAsia="Calibri" w:hAnsi="Calibri"/>
                <w:b/>
                <w:bCs/>
                <w:color w:val="FFFFFF"/>
                <w:sz w:val="19"/>
                <w:szCs w:val="19"/>
              </w:rPr>
              <w:t xml:space="preserve">How this design delivers it</w:t>
            </w:r>
          </w:p>
        </w:tc>
      </w:tr>
      <w:tr>
        <w:tc>
          <w:tcPr>
            <w:tcW w:type="dxa" w:w="3800"/>
            <w:tcMar>
              <w:top w:type="dxa" w:w="100"/>
              <w:left w:type="dxa" w:w="120"/>
              <w:bottom w:type="dxa" w:w="100"/>
              <w:right w:type="dxa" w:w="120"/>
            </w:tcMar>
          </w:tcPr>
          <w:p>
            <w:r>
              <w:rPr>
                <w:rFonts w:ascii="Calibri" w:cs="Calibri" w:eastAsia="Calibri" w:hAnsi="Calibri"/>
                <w:b w:val="false"/>
                <w:bCs w:val="false"/>
                <w:color w:val="222222"/>
                <w:sz w:val="19"/>
                <w:szCs w:val="19"/>
              </w:rPr>
              <w:t xml:space="preserve">Reduce manual GIS integration effort</w:t>
            </w:r>
          </w:p>
        </w:tc>
        <w:tc>
          <w:tcPr>
            <w:tcW w:type="dxa" w:w="5550"/>
            <w:tcMar>
              <w:top w:type="dxa" w:w="100"/>
              <w:left w:type="dxa" w:w="120"/>
              <w:bottom w:type="dxa" w:w="100"/>
              <w:right w:type="dxa" w:w="120"/>
            </w:tcMar>
          </w:tcPr>
          <w:p>
            <w:r>
              <w:rPr>
                <w:rFonts w:ascii="Calibri" w:cs="Calibri" w:eastAsia="Calibri" w:hAnsi="Calibri"/>
                <w:b w:val="false"/>
                <w:bCs w:val="false"/>
                <w:color w:val="222222"/>
                <w:sz w:val="19"/>
                <w:szCs w:val="19"/>
              </w:rPr>
              <w:t xml:space="preserve">Automated segmentation and constrained sub-division partitioning replaces manual digitization of boundaries</w:t>
            </w:r>
          </w:p>
        </w:tc>
      </w:tr>
      <w:tr>
        <w:tc>
          <w:tcPr>
            <w:tcW w:type="dxa" w:w="38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Improve accuracy / consistency</w:t>
            </w:r>
          </w:p>
        </w:tc>
        <w:tc>
          <w:tcPr>
            <w:tcW w:type="dxa" w:w="55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Area-constrained ML partitioning + topology correction + multi-source confidence scoring</w:t>
            </w:r>
          </w:p>
        </w:tc>
      </w:tr>
      <w:tr>
        <w:tc>
          <w:tcPr>
            <w:tcW w:type="dxa" w:w="3800"/>
            <w:tcMar>
              <w:top w:type="dxa" w:w="100"/>
              <w:left w:type="dxa" w:w="120"/>
              <w:bottom w:type="dxa" w:w="100"/>
              <w:right w:type="dxa" w:w="120"/>
            </w:tcMar>
          </w:tcPr>
          <w:p>
            <w:r>
              <w:rPr>
                <w:rFonts w:ascii="Calibri" w:cs="Calibri" w:eastAsia="Calibri" w:hAnsi="Calibri"/>
                <w:b w:val="false"/>
                <w:bCs w:val="false"/>
                <w:color w:val="222222"/>
                <w:sz w:val="19"/>
                <w:szCs w:val="19"/>
              </w:rPr>
              <w:t xml:space="preserve">Seamless inter-departmental spatial data exchange</w:t>
            </w:r>
          </w:p>
        </w:tc>
        <w:tc>
          <w:tcPr>
            <w:tcW w:type="dxa" w:w="5550"/>
            <w:tcMar>
              <w:top w:type="dxa" w:w="100"/>
              <w:left w:type="dxa" w:w="120"/>
              <w:bottom w:type="dxa" w:w="100"/>
              <w:right w:type="dxa" w:w="120"/>
            </w:tcMar>
          </w:tcPr>
          <w:p>
            <w:r>
              <w:rPr>
                <w:rFonts w:ascii="Calibri" w:cs="Calibri" w:eastAsia="Calibri" w:hAnsi="Calibri"/>
                <w:b w:val="false"/>
                <w:bCs w:val="false"/>
                <w:color w:val="222222"/>
                <w:sz w:val="19"/>
                <w:szCs w:val="19"/>
              </w:rPr>
              <w:t xml:space="preserve">OGC WMS/WFS + a shared PostGIS golden record consumable by revenue, municipal, registration and utility systems</w:t>
            </w:r>
          </w:p>
        </w:tc>
      </w:tr>
      <w:tr>
        <w:tc>
          <w:tcPr>
            <w:tcW w:type="dxa" w:w="38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Accelerate cadastral finalization</w:t>
            </w:r>
          </w:p>
        </w:tc>
        <w:tc>
          <w:tcPr>
            <w:tcW w:type="dxa" w:w="55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Automates the step — boundary and sub-division extraction — that today requires a GIS technician per village</w:t>
            </w:r>
          </w:p>
        </w:tc>
      </w:tr>
      <w:tr>
        <w:tc>
          <w:tcPr>
            <w:tcW w:type="dxa" w:w="3800"/>
            <w:tcMar>
              <w:top w:type="dxa" w:w="100"/>
              <w:left w:type="dxa" w:w="120"/>
              <w:bottom w:type="dxa" w:w="100"/>
              <w:right w:type="dxa" w:w="120"/>
            </w:tcMar>
          </w:tcPr>
          <w:p>
            <w:r>
              <w:rPr>
                <w:rFonts w:ascii="Calibri" w:cs="Calibri" w:eastAsia="Calibri" w:hAnsi="Calibri"/>
                <w:b w:val="false"/>
                <w:bCs w:val="false"/>
                <w:color w:val="222222"/>
                <w:sz w:val="19"/>
                <w:szCs w:val="19"/>
              </w:rPr>
              <w:t xml:space="preserve">Improve interoperability of land information systems</w:t>
            </w:r>
          </w:p>
        </w:tc>
        <w:tc>
          <w:tcPr>
            <w:tcW w:type="dxa" w:w="5550"/>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Standardized schema and open API layer, independent of source department</w:t>
            </w:r>
          </w:p>
        </w:tc>
      </w:tr>
      <w:tr>
        <w:tc>
          <w:tcPr>
            <w:tcW w:type="dxa" w:w="380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Support standardized digital land governance</w:t>
            </w:r>
          </w:p>
        </w:tc>
        <w:tc>
          <w:tcPr>
            <w:tcW w:type="dxa" w:w="5550"/>
            <w:shd w:fill="F7F9FA"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Versioned, source-lineage-tracked golden record with a full audit trail, aligned with DILRMP objectives</w:t>
            </w:r>
          </w:p>
        </w:tc>
      </w:tr>
      <w:tr>
        <w:tc>
          <w:tcPr>
            <w:tcW w:type="dxa" w:w="3800"/>
            <w:tcMar>
              <w:top w:type="dxa" w:w="100"/>
              <w:left w:type="dxa" w:w="120"/>
              <w:bottom w:type="dxa" w:w="100"/>
              <w:right w:type="dxa" w:w="120"/>
            </w:tcMar>
          </w:tcPr>
          <w:p>
            <w:r>
              <w:rPr>
                <w:rFonts w:ascii="Calibri" w:cs="Calibri" w:eastAsia="Calibri" w:hAnsi="Calibri"/>
                <w:b w:val="false"/>
                <w:bCs w:val="false"/>
                <w:color w:val="222222"/>
                <w:sz w:val="19"/>
                <w:szCs w:val="19"/>
              </w:rPr>
              <w:t xml:space="preserve">Citizen / planner-facing benefit</w:t>
            </w:r>
          </w:p>
        </w:tc>
        <w:tc>
          <w:tcPr>
            <w:tcW w:type="dxa" w:w="5550"/>
            <w:tcMar>
              <w:top w:type="dxa" w:w="100"/>
              <w:left w:type="dxa" w:w="120"/>
              <w:bottom w:type="dxa" w:w="100"/>
              <w:right w:type="dxa" w:w="120"/>
            </w:tcMar>
          </w:tcPr>
          <w:p>
            <w:r>
              <w:rPr>
                <w:rFonts w:ascii="Calibri" w:cs="Calibri" w:eastAsia="Calibri" w:hAnsi="Calibri"/>
                <w:b w:val="false"/>
                <w:bCs w:val="false"/>
                <w:color w:val="222222"/>
                <w:sz w:val="19"/>
                <w:szCs w:val="19"/>
              </w:rPr>
              <w:t xml:space="preserve">Converts a static, one-page plot report into a dynamic, searchable, zoomable Village Digital Land Twin</w:t>
            </w:r>
          </w:p>
        </w:tc>
      </w:tr>
    </w:tbl>
    <w:p>
      <w:pPr>
        <w:pStyle w:val="Heading1"/>
        <w:pBdr>
          <w:bottom w:val="single" w:color="1F4E5F" w:sz="8" w:space="4"/>
        </w:pBdr>
        <w:spacing w:after="160" w:before="360"/>
      </w:pPr>
      <w:r>
        <w:rPr>
          <w:rFonts w:ascii="Calibri" w:cs="Calibri" w:eastAsia="Calibri" w:hAnsi="Calibri"/>
          <w:b/>
          <w:bCs/>
          <w:color w:val="1F4E5F"/>
          <w:sz w:val="30"/>
          <w:szCs w:val="30"/>
        </w:rPr>
        <w:t xml:space="preserve">14. Risks and Mitigations</w:t>
      </w:r>
    </w:p>
    <w:p>
      <w:pPr>
        <w:pStyle w:val="ListParagraph"/>
        <w:numPr>
          <w:ilvl w:val="0"/>
          <w:numId w:val="2"/>
        </w:numPr>
        <w:spacing w:after="90"/>
      </w:pPr>
      <w:r>
        <w:rPr>
          <w:rFonts w:ascii="Calibri" w:cs="Calibri" w:eastAsia="Calibri" w:hAnsi="Calibri"/>
          <w:sz w:val="21"/>
          <w:szCs w:val="21"/>
        </w:rPr>
        <w:t xml:space="preserve">Legal defensibility of AI-inferred boundaries — mitigated by treating all sub-90% confidence output as draft/advisory only, requiring Talathi / Circle-Officer sign-off before any boundary is published as authoritative.</w:t>
      </w:r>
    </w:p>
    <w:p>
      <w:pPr>
        <w:pStyle w:val="ListParagraph"/>
        <w:numPr>
          <w:ilvl w:val="0"/>
          <w:numId w:val="2"/>
        </w:numPr>
        <w:spacing w:after="90"/>
      </w:pPr>
      <w:r>
        <w:rPr>
          <w:rFonts w:ascii="Calibri" w:cs="Calibri" w:eastAsia="Calibri" w:hAnsi="Calibri"/>
          <w:sz w:val="21"/>
          <w:szCs w:val="21"/>
        </w:rPr>
        <w:t xml:space="preserve">Handwriting / print quality variance across decades of records — mitigated with a document-quality classifier that routes degraded scans to a stronger model or a manual queue instead of forcing one model to handle every era of paperwork.</w:t>
      </w:r>
    </w:p>
    <w:p>
      <w:pPr>
        <w:pStyle w:val="ListParagraph"/>
        <w:numPr>
          <w:ilvl w:val="0"/>
          <w:numId w:val="2"/>
        </w:numPr>
        <w:spacing w:after="90"/>
      </w:pPr>
      <w:r>
        <w:rPr>
          <w:rFonts w:ascii="Calibri" w:cs="Calibri" w:eastAsia="Calibri" w:hAnsi="Calibri"/>
          <w:sz w:val="21"/>
          <w:szCs w:val="21"/>
        </w:rPr>
        <w:t xml:space="preserve">Coordinate-system and datum inconsistency between historical (e.g. Everest 1830) and modern (WGS84) surveys — mitigated by making datum transformation and control-point calibration a first-class pipeline step.</w:t>
      </w:r>
    </w:p>
    <w:p>
      <w:pPr>
        <w:pStyle w:val="ListParagraph"/>
        <w:numPr>
          <w:ilvl w:val="0"/>
          <w:numId w:val="2"/>
        </w:numPr>
        <w:spacing w:after="90"/>
      </w:pPr>
      <w:r>
        <w:rPr>
          <w:rFonts w:ascii="Calibri" w:cs="Calibri" w:eastAsia="Calibri" w:hAnsi="Calibri"/>
          <w:sz w:val="21"/>
          <w:szCs w:val="21"/>
        </w:rPr>
        <w:t xml:space="preserve">Data sensitivity — land-ownership data is personally identifiable and legally sensitive; the pipeline must support role-based access control, encryption at rest and in transit, and compliance with the relevant state Bhumi Abhilekh data-sharing policy. This report itself withholds all owner names from its reference example for the same reason.</w:t>
      </w:r>
    </w:p>
    <w:p>
      <w:pPr>
        <w:pStyle w:val="Heading1"/>
        <w:pBdr>
          <w:bottom w:val="single" w:color="1F4E5F" w:sz="8" w:space="4"/>
        </w:pBdr>
        <w:spacing w:after="160" w:before="360"/>
      </w:pPr>
      <w:r>
        <w:rPr>
          <w:rFonts w:ascii="Calibri" w:cs="Calibri" w:eastAsia="Calibri" w:hAnsi="Calibri"/>
          <w:b/>
          <w:bCs/>
          <w:color w:val="1F4E5F"/>
          <w:sz w:val="30"/>
          <w:szCs w:val="30"/>
        </w:rPr>
        <w:t xml:space="preserve">15. References</w:t>
      </w:r>
    </w:p>
    <w:p>
      <w:pPr>
        <w:pStyle w:val="ListParagraph"/>
        <w:numPr>
          <w:ilvl w:val="0"/>
          <w:numId w:val="2"/>
        </w:numPr>
        <w:spacing w:after="90"/>
      </w:pPr>
      <w:r>
        <w:rPr>
          <w:rFonts w:ascii="Calibri" w:cs="Calibri" w:eastAsia="Calibri" w:hAnsi="Calibri"/>
          <w:sz w:val="21"/>
          <w:szCs w:val="21"/>
        </w:rPr>
        <w:t xml:space="preserve">Ministry of Rural Development / Department of Land Resources — SIH Problem Statement 26013.</w:t>
      </w:r>
    </w:p>
    <w:p>
      <w:pPr>
        <w:pStyle w:val="ListParagraph"/>
        <w:numPr>
          <w:ilvl w:val="0"/>
          <w:numId w:val="2"/>
        </w:numPr>
        <w:spacing w:after="90"/>
      </w:pPr>
      <w:r>
        <w:rPr>
          <w:rFonts w:ascii="Calibri" w:cs="Calibri" w:eastAsia="Calibri" w:hAnsi="Calibri"/>
          <w:sz w:val="21"/>
          <w:szCs w:val="21"/>
        </w:rPr>
        <w:t xml:space="preserve">NAKSHA (National Geospatial Knowledge-based Land Survey of Urban Habitations) — programme coverage across 152 Urban Local Bodies, 26 states and 3 union territories, under DILRMP.</w:t>
      </w:r>
    </w:p>
    <w:p>
      <w:pPr>
        <w:pStyle w:val="ListParagraph"/>
        <w:numPr>
          <w:ilvl w:val="0"/>
          <w:numId w:val="2"/>
        </w:numPr>
        <w:spacing w:after="90"/>
      </w:pPr>
      <w:r>
        <w:rPr>
          <w:rFonts w:ascii="Calibri" w:cs="Calibri" w:eastAsia="Calibri" w:hAnsi="Calibri"/>
          <w:sz w:val="21"/>
          <w:szCs w:val="21"/>
        </w:rPr>
        <w:t xml:space="preserve">NAKSHA pilot progress reporting (e.g. Chandigarh UT) — drone flying, base-map generation, and citizen-verification workflow.</w:t>
      </w:r>
    </w:p>
    <w:p>
      <w:pPr>
        <w:pStyle w:val="ListParagraph"/>
        <w:numPr>
          <w:ilvl w:val="0"/>
          <w:numId w:val="2"/>
        </w:numPr>
        <w:spacing w:after="90"/>
      </w:pPr>
      <w:r>
        <w:rPr>
          <w:rFonts w:ascii="Calibri" w:cs="Calibri" w:eastAsia="Calibri" w:hAnsi="Calibri"/>
          <w:sz w:val="21"/>
          <w:szCs w:val="21"/>
        </w:rPr>
        <w:t xml:space="preserve">SVAMITVA Scheme — drone-based rural property-card distribution statistics (3.17+ lakh villages surveyed; 2.25–2.35 crore property cards issued as of early 2025, including Maharashtra villages).</w:t>
      </w:r>
    </w:p>
    <w:p>
      <w:pPr>
        <w:pStyle w:val="ListParagraph"/>
        <w:numPr>
          <w:ilvl w:val="0"/>
          <w:numId w:val="2"/>
        </w:numPr>
        <w:spacing w:after="90"/>
      </w:pPr>
      <w:r>
        <w:rPr>
          <w:rFonts w:ascii="Calibri" w:cs="Calibri" w:eastAsia="Calibri" w:hAnsi="Calibri"/>
          <w:sz w:val="21"/>
          <w:szCs w:val="21"/>
        </w:rPr>
        <w:t xml:space="preserve">Maharashtra Bhumi Abhilekh / Mahabhulekh portal — official 7/12 and 8-A land-record service administered by the Jamabandi Aayukta va Sanchalak, Bhumi Abhilekh, Pune.</w:t>
      </w:r>
    </w:p>
    <w:p>
      <w:pPr>
        <w:pStyle w:val="ListParagraph"/>
        <w:numPr>
          <w:ilvl w:val="0"/>
          <w:numId w:val="2"/>
        </w:numPr>
        <w:spacing w:after="90"/>
      </w:pPr>
      <w:r>
        <w:rPr>
          <w:rFonts w:ascii="Calibri" w:cs="Calibri" w:eastAsia="Calibri" w:hAnsi="Calibri"/>
          <w:sz w:val="21"/>
          <w:szCs w:val="21"/>
        </w:rPr>
        <w:t xml:space="preserve">Reference document: “Plot Report,” Village Khedi (Go.Go.), Taluka Narkhed, District Nagpur, Maharashtra — Survey No. 255 (sub-divisions 255/1, 255/2, 255/3), as supplied for this analysis; owner names withheld in this report.</w:t>
      </w:r>
    </w:p>
    <w:p>
      <w:pPr>
        <w:spacing w:after="160" w:line="300"/>
        <w:jc w:val="both"/>
      </w:pPr>
      <w:r>
        <w:rPr>
          <w:rFonts w:ascii="Calibri" w:cs="Calibri" w:eastAsia="Calibri" w:hAnsi="Calibri"/>
          <w:b w:val="false"/>
          <w:bCs w:val="false"/>
          <w:i/>
          <w:iCs/>
          <w:sz w:val="21"/>
          <w:szCs w:val="21"/>
        </w:rPr>
        <w:t xml:space="preserve">Note: Live government portals were consulted for factual grounding on programme names, scope, and statistics current as of early-to-mid 2025. Readers should verify the latest coverage figures on the official NAKSHA, SVAMITVA and Mahabhulekh websites before final submission, as these numbers change frequently.</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2026-08-29T14:56:45.710Z</dcterms:created>
  <dcterms:modified xsi:type="dcterms:W3CDTF">2026-08-29T14:56:45.710Z</dcterms:modified>
</cp:coreProperties>
</file>

<file path=docProps/custom.xml><?xml version="1.0" encoding="utf-8"?>
<Properties xmlns="http://schemas.openxmlformats.org/officeDocument/2006/custom-properties" xmlns:vt="http://schemas.openxmlformats.org/officeDocument/2006/docPropsVTypes"/>
</file>