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Cadence Commercial Credit Agreement</w:t>
      </w:r>
    </w:p>
    <w:p>
      <w:r>
        <w:t>Master Facility Loan Document - Confidential Execution Copy</w:t>
      </w:r>
    </w:p>
    <w:p>
      <w:pPr>
        <w:pStyle w:val="Heading2"/>
      </w:pPr>
      <w:r>
        <w:t>Section 1: Borrower Information</w:t>
      </w:r>
    </w:p>
    <w:p>
      <w:r>
        <w:t>Primary Borrower: Jonathan M. Mockford</w:t>
        <w:br/>
        <w:t>Taxpayer Identification (SSN): 505-92-8517</w:t>
        <w:br/>
        <w:t>Official Communication Email: morgan.testperson680@testcorp.internal</w:t>
        <w:br/>
        <w:t>Telephone Number: (555) 0127-9179</w:t>
      </w:r>
    </w:p>
    <w:p>
      <w:pPr>
        <w:pStyle w:val="Heading2"/>
      </w:pPr>
      <w:r>
        <w:t>Section 2: Guarantor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Guarantor Name</w:t>
            </w:r>
          </w:p>
        </w:tc>
        <w:tc>
          <w:tcPr>
            <w:tcW w:type="dxa" w:w="2880"/>
          </w:tcPr>
          <w:p>
            <w:r>
              <w:t>Designated Email</w:t>
            </w:r>
          </w:p>
        </w:tc>
        <w:tc>
          <w:tcPr>
            <w:tcW w:type="dxa" w:w="2880"/>
          </w:tcPr>
          <w:p>
            <w:r>
              <w:t>Emergency Telephone</w:t>
            </w:r>
          </w:p>
        </w:tc>
      </w:tr>
      <w:tr>
        <w:tc>
          <w:tcPr>
            <w:tcW w:type="dxa" w:w="2880"/>
          </w:tcPr>
          <w:p>
            <w:r>
              <w:t>Apex Holding Group LLC</w:t>
            </w:r>
          </w:p>
        </w:tc>
        <w:tc>
          <w:tcPr>
            <w:tcW w:type="dxa" w:w="2880"/>
          </w:tcPr>
          <w:p>
            <w:r>
              <w:t>taylor.demouser242@example.org</w:t>
            </w:r>
          </w:p>
        </w:tc>
        <w:tc>
          <w:tcPr>
            <w:tcW w:type="dxa" w:w="2880"/>
          </w:tcPr>
          <w:p>
            <w:r>
              <w:t>(555) 0195-9830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