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Third-Party Data Handling Policy</w:t>
      </w:r>
    </w:p>
    <w:p>
      <w:r>
        <w:t>Employees are strictly forbidden from sharing customer PII with unverified vendors.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 Category</w:t>
            </w:r>
          </w:p>
        </w:tc>
        <w:tc>
          <w:tcPr>
            <w:tcW w:type="dxa" w:w="2880"/>
          </w:tcPr>
          <w:p>
            <w:r>
              <w:t>Risk Level</w:t>
            </w:r>
          </w:p>
        </w:tc>
        <w:tc>
          <w:tcPr>
            <w:tcW w:type="dxa" w:w="2880"/>
          </w:tcPr>
          <w:p>
            <w:r>
              <w:t>Mandatory Safeguard</w:t>
            </w:r>
          </w:p>
        </w:tc>
      </w:tr>
      <w:tr>
        <w:tc>
          <w:tcPr>
            <w:tcW w:type="dxa" w:w="2880"/>
          </w:tcPr>
          <w:p>
            <w:r>
              <w:t>Cloud Storage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KMS Encryption</w:t>
            </w:r>
          </w:p>
        </w:tc>
      </w:tr>
      <w:tr>
        <w:tc>
          <w:tcPr>
            <w:tcW w:type="dxa" w:w="2880"/>
          </w:tcPr>
          <w:p>
            <w:r>
              <w:t>Email Relay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TLS 1.3</w:t>
            </w:r>
          </w:p>
        </w:tc>
      </w:tr>
    </w:tbl>
    <w:p>
      <w:r>
        <w:t>Exceptions must be approved by the Chief Information Security Officer.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Page 1 |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Cadence Internal Controls - Policy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