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4FF10" w14:textId="77777777" w:rsidR="008042D8" w:rsidRDefault="008042D8">
      <w:pPr>
        <w:pStyle w:val="Heading1"/>
        <w:keepNext w:val="0"/>
        <w:keepLines w:val="0"/>
        <w:widowControl w:val="0"/>
        <w:spacing w:before="0" w:after="0"/>
        <w:ind w:left="140"/>
        <w:rPr>
          <w:rFonts w:ascii="Verdana" w:eastAsia="Verdana" w:hAnsi="Verdana" w:cs="Verdana"/>
          <w:color w:val="5F8E1B"/>
          <w:sz w:val="18"/>
          <w:szCs w:val="18"/>
        </w:rPr>
      </w:pPr>
    </w:p>
    <w:p w14:paraId="1C954ADA" w14:textId="6EAEC3A8" w:rsidR="00810B4F" w:rsidRDefault="008042D8">
      <w:pPr>
        <w:pStyle w:val="Heading1"/>
        <w:keepNext w:val="0"/>
        <w:keepLines w:val="0"/>
        <w:widowControl w:val="0"/>
        <w:spacing w:before="0" w:after="0"/>
        <w:ind w:left="140"/>
        <w:rPr>
          <w:sz w:val="30"/>
          <w:szCs w:val="30"/>
        </w:rPr>
      </w:pPr>
      <w:r>
        <w:rPr>
          <w:rFonts w:ascii="Verdana" w:eastAsia="Verdana" w:hAnsi="Verdana" w:cs="Verdana"/>
          <w:color w:val="5F8E1B"/>
          <w:sz w:val="18"/>
          <w:szCs w:val="18"/>
        </w:rPr>
        <w:t>What impact will you make?</w:t>
      </w:r>
    </w:p>
    <w:p w14:paraId="266557D3" w14:textId="77777777" w:rsidR="00810B4F" w:rsidRDefault="00810B4F">
      <w:pPr>
        <w:widowControl w:val="0"/>
        <w:pBdr>
          <w:top w:val="nil"/>
          <w:left w:val="nil"/>
          <w:bottom w:val="nil"/>
          <w:right w:val="nil"/>
          <w:between w:val="nil"/>
        </w:pBdr>
        <w:spacing w:before="4"/>
        <w:jc w:val="left"/>
        <w:rPr>
          <w:rFonts w:ascii="Verdana" w:eastAsia="Verdana" w:hAnsi="Verdana" w:cs="Verdana"/>
          <w:b/>
          <w:color w:val="000000"/>
          <w:sz w:val="18"/>
          <w:szCs w:val="18"/>
        </w:rPr>
      </w:pPr>
    </w:p>
    <w:p w14:paraId="18E71032" w14:textId="77777777" w:rsidR="00810B4F" w:rsidRDefault="008042D8">
      <w:pPr>
        <w:widowControl w:val="0"/>
        <w:pBdr>
          <w:top w:val="nil"/>
          <w:left w:val="nil"/>
          <w:bottom w:val="nil"/>
          <w:right w:val="nil"/>
          <w:between w:val="nil"/>
        </w:pBdr>
        <w:ind w:left="140" w:right="428"/>
        <w:rPr>
          <w:rFonts w:ascii="Verdana" w:eastAsia="Verdana" w:hAnsi="Verdana" w:cs="Verdana"/>
          <w:color w:val="000000"/>
          <w:sz w:val="18"/>
          <w:szCs w:val="18"/>
        </w:rPr>
      </w:pPr>
      <w:r>
        <w:rPr>
          <w:rFonts w:ascii="Verdana" w:eastAsia="Verdana" w:hAnsi="Verdana" w:cs="Verdana"/>
          <w:color w:val="000000"/>
          <w:sz w:val="18"/>
          <w:szCs w:val="18"/>
        </w:rPr>
        <w:t>Every day, your work will make an impact that matters, while you thrive in a dynamic culture of inclusion, collaboration and high performance. As the undisputed leader in professional services, Deloitte is where you’ll find unrivaled opportunities to succeed and realize your full potential</w:t>
      </w:r>
    </w:p>
    <w:p w14:paraId="73652022" w14:textId="77777777" w:rsidR="00810B4F" w:rsidRDefault="00810B4F">
      <w:pPr>
        <w:widowControl w:val="0"/>
        <w:pBdr>
          <w:top w:val="nil"/>
          <w:left w:val="nil"/>
          <w:bottom w:val="nil"/>
          <w:right w:val="nil"/>
          <w:between w:val="nil"/>
        </w:pBdr>
        <w:ind w:left="140" w:right="428"/>
        <w:rPr>
          <w:rFonts w:ascii="Verdana" w:eastAsia="Verdana" w:hAnsi="Verdana" w:cs="Verdana"/>
          <w:color w:val="000000"/>
          <w:sz w:val="18"/>
          <w:szCs w:val="18"/>
        </w:rPr>
      </w:pPr>
    </w:p>
    <w:p w14:paraId="098EAD9E" w14:textId="77777777" w:rsidR="00810B4F" w:rsidRDefault="008042D8">
      <w:pPr>
        <w:pStyle w:val="Heading1"/>
        <w:keepNext w:val="0"/>
        <w:keepLines w:val="0"/>
        <w:widowControl w:val="0"/>
        <w:spacing w:before="0" w:after="0"/>
        <w:ind w:left="140"/>
        <w:rPr>
          <w:rFonts w:ascii="Verdana" w:eastAsia="Verdana" w:hAnsi="Verdana" w:cs="Verdana"/>
          <w:color w:val="000000"/>
          <w:sz w:val="18"/>
          <w:szCs w:val="18"/>
        </w:rPr>
      </w:pPr>
      <w:r>
        <w:rPr>
          <w:rFonts w:ascii="Verdana" w:eastAsia="Verdana" w:hAnsi="Verdana" w:cs="Verdana"/>
          <w:color w:val="000000"/>
          <w:sz w:val="18"/>
          <w:szCs w:val="18"/>
        </w:rPr>
        <w:t>Deloitte is where you’ll find unrivaled opportunities to succeed and realize your full potential</w:t>
      </w:r>
    </w:p>
    <w:p w14:paraId="41A74437" w14:textId="77777777" w:rsidR="00810B4F" w:rsidRDefault="00810B4F">
      <w:pPr>
        <w:widowControl w:val="0"/>
        <w:pBdr>
          <w:top w:val="nil"/>
          <w:left w:val="nil"/>
          <w:bottom w:val="nil"/>
          <w:right w:val="nil"/>
          <w:between w:val="nil"/>
        </w:pBdr>
        <w:jc w:val="left"/>
        <w:rPr>
          <w:rFonts w:ascii="Verdana" w:eastAsia="Verdana" w:hAnsi="Verdana" w:cs="Verdana"/>
          <w:b/>
          <w:color w:val="5F8E1B"/>
          <w:sz w:val="18"/>
          <w:szCs w:val="18"/>
        </w:rPr>
      </w:pPr>
    </w:p>
    <w:p w14:paraId="48F0C633" w14:textId="77777777" w:rsidR="00810B4F" w:rsidRDefault="008042D8">
      <w:pPr>
        <w:ind w:left="140"/>
        <w:rPr>
          <w:rFonts w:ascii="Verdana" w:eastAsia="Verdana" w:hAnsi="Verdana" w:cs="Verdana"/>
          <w:b/>
          <w:color w:val="5F8E1B"/>
          <w:sz w:val="18"/>
          <w:szCs w:val="18"/>
        </w:rPr>
      </w:pPr>
      <w:r>
        <w:rPr>
          <w:rFonts w:ascii="Verdana" w:eastAsia="Verdana" w:hAnsi="Verdana" w:cs="Verdana"/>
          <w:b/>
          <w:color w:val="5F8E1B"/>
          <w:sz w:val="18"/>
          <w:szCs w:val="18"/>
        </w:rPr>
        <w:t>The Team</w:t>
      </w:r>
    </w:p>
    <w:p w14:paraId="57F072A9" w14:textId="77777777" w:rsidR="00810B4F" w:rsidRDefault="00810B4F">
      <w:pPr>
        <w:widowControl w:val="0"/>
        <w:pBdr>
          <w:top w:val="nil"/>
          <w:left w:val="nil"/>
          <w:bottom w:val="nil"/>
          <w:right w:val="nil"/>
          <w:between w:val="nil"/>
        </w:pBdr>
        <w:spacing w:before="12"/>
        <w:jc w:val="left"/>
        <w:rPr>
          <w:rFonts w:ascii="Verdana" w:eastAsia="Verdana" w:hAnsi="Verdana" w:cs="Verdana"/>
          <w:b/>
          <w:color w:val="000000"/>
          <w:sz w:val="17"/>
          <w:szCs w:val="17"/>
        </w:rPr>
      </w:pPr>
    </w:p>
    <w:p w14:paraId="3E6B98F5" w14:textId="77777777" w:rsidR="00810B4F" w:rsidRDefault="008042D8">
      <w:pPr>
        <w:widowControl w:val="0"/>
        <w:pBdr>
          <w:top w:val="nil"/>
          <w:left w:val="nil"/>
          <w:bottom w:val="nil"/>
          <w:right w:val="nil"/>
          <w:between w:val="nil"/>
        </w:pBdr>
        <w:spacing w:line="242" w:lineRule="auto"/>
        <w:ind w:left="140" w:right="238"/>
        <w:jc w:val="left"/>
        <w:rPr>
          <w:rFonts w:ascii="Verdana" w:eastAsia="Verdana" w:hAnsi="Verdana" w:cs="Verdana"/>
          <w:color w:val="000000"/>
          <w:sz w:val="18"/>
          <w:szCs w:val="18"/>
        </w:rPr>
      </w:pPr>
      <w:r>
        <w:rPr>
          <w:rFonts w:ascii="Verdana" w:eastAsia="Verdana" w:hAnsi="Verdana" w:cs="Verdana"/>
          <w:color w:val="000000"/>
          <w:sz w:val="18"/>
          <w:szCs w:val="18"/>
        </w:rPr>
        <w:t>Today, business and technology innovation are inextricably linked and the demand for technology- enabled business transformation services is rapidly growing. Deloitte’s global network of</w:t>
      </w:r>
    </w:p>
    <w:p w14:paraId="40D7C77F" w14:textId="77777777" w:rsidR="00810B4F" w:rsidRDefault="008042D8">
      <w:pPr>
        <w:widowControl w:val="0"/>
        <w:pBdr>
          <w:top w:val="nil"/>
          <w:left w:val="nil"/>
          <w:bottom w:val="nil"/>
          <w:right w:val="nil"/>
          <w:between w:val="nil"/>
        </w:pBdr>
        <w:ind w:left="140" w:right="633"/>
        <w:jc w:val="left"/>
        <w:rPr>
          <w:rFonts w:ascii="Verdana" w:eastAsia="Verdana" w:hAnsi="Verdana" w:cs="Verdana"/>
          <w:color w:val="000000"/>
          <w:sz w:val="18"/>
          <w:szCs w:val="18"/>
        </w:rPr>
      </w:pPr>
      <w:r>
        <w:rPr>
          <w:rFonts w:ascii="Verdana" w:eastAsia="Verdana" w:hAnsi="Verdana" w:cs="Verdana"/>
          <w:color w:val="000000"/>
          <w:sz w:val="18"/>
          <w:szCs w:val="18"/>
        </w:rPr>
        <w:t>technology practitioner’s help clients identify and solve their most critical information and technological challenges. With market-leading expertise in 17 industry segments, superior business transformation capabilities, and deep technical expertise, our global network of more than 33,000 technology practitioners create unmatched market offerings to solve our clients’ toughest business issues.</w:t>
      </w:r>
    </w:p>
    <w:p w14:paraId="310D1A78" w14:textId="77777777" w:rsidR="00810B4F" w:rsidRDefault="00810B4F">
      <w:pPr>
        <w:widowControl w:val="0"/>
        <w:pBdr>
          <w:top w:val="nil"/>
          <w:left w:val="nil"/>
          <w:bottom w:val="nil"/>
          <w:right w:val="nil"/>
          <w:between w:val="nil"/>
        </w:pBdr>
        <w:spacing w:before="4"/>
        <w:jc w:val="left"/>
        <w:rPr>
          <w:rFonts w:ascii="Verdana" w:eastAsia="Verdana" w:hAnsi="Verdana" w:cs="Verdana"/>
          <w:color w:val="000000"/>
          <w:sz w:val="17"/>
          <w:szCs w:val="17"/>
        </w:rPr>
      </w:pPr>
    </w:p>
    <w:p w14:paraId="5EBD446F" w14:textId="77777777" w:rsidR="00810B4F" w:rsidRDefault="00635562">
      <w:pPr>
        <w:widowControl w:val="0"/>
        <w:pBdr>
          <w:top w:val="nil"/>
          <w:left w:val="nil"/>
          <w:bottom w:val="nil"/>
          <w:right w:val="nil"/>
          <w:between w:val="nil"/>
        </w:pBdr>
        <w:spacing w:before="1"/>
        <w:ind w:left="140"/>
        <w:jc w:val="left"/>
        <w:rPr>
          <w:rFonts w:ascii="Verdana" w:eastAsia="Verdana" w:hAnsi="Verdana" w:cs="Verdana"/>
          <w:color w:val="000000"/>
          <w:sz w:val="18"/>
          <w:szCs w:val="18"/>
        </w:rPr>
      </w:pPr>
      <w:hyperlink r:id="rId7">
        <w:r w:rsidR="008042D8">
          <w:rPr>
            <w:rFonts w:ascii="Verdana" w:eastAsia="Verdana" w:hAnsi="Verdana" w:cs="Verdana"/>
            <w:color w:val="045FC1"/>
            <w:sz w:val="18"/>
            <w:szCs w:val="18"/>
            <w:u w:val="single"/>
          </w:rPr>
          <w:t>Learn more about the technology consulting practice</w:t>
        </w:r>
      </w:hyperlink>
    </w:p>
    <w:p w14:paraId="1DF7442C" w14:textId="77777777" w:rsidR="00810B4F" w:rsidRDefault="00810B4F">
      <w:pPr>
        <w:widowControl w:val="0"/>
        <w:pBdr>
          <w:top w:val="nil"/>
          <w:left w:val="nil"/>
          <w:bottom w:val="nil"/>
          <w:right w:val="nil"/>
          <w:between w:val="nil"/>
        </w:pBdr>
        <w:jc w:val="left"/>
        <w:rPr>
          <w:rFonts w:ascii="Verdana" w:eastAsia="Verdana" w:hAnsi="Verdana" w:cs="Verdana"/>
          <w:color w:val="000000"/>
          <w:sz w:val="28"/>
          <w:szCs w:val="28"/>
        </w:rPr>
      </w:pPr>
    </w:p>
    <w:p w14:paraId="31FF0A67" w14:textId="77777777" w:rsidR="00810B4F" w:rsidRDefault="008042D8">
      <w:pPr>
        <w:ind w:left="140"/>
        <w:rPr>
          <w:rFonts w:ascii="Verdana" w:eastAsia="Verdana" w:hAnsi="Verdana" w:cs="Verdana"/>
          <w:b/>
          <w:color w:val="5F8E1B"/>
          <w:sz w:val="18"/>
          <w:szCs w:val="18"/>
        </w:rPr>
      </w:pPr>
      <w:r>
        <w:rPr>
          <w:rFonts w:ascii="Verdana" w:eastAsia="Verdana" w:hAnsi="Verdana" w:cs="Verdana"/>
          <w:b/>
          <w:color w:val="5F8E1B"/>
          <w:sz w:val="18"/>
          <w:szCs w:val="18"/>
        </w:rPr>
        <w:t>Work you’ll do</w:t>
      </w:r>
    </w:p>
    <w:p w14:paraId="203ED0A9" w14:textId="77777777" w:rsidR="00810B4F" w:rsidRDefault="00810B4F">
      <w:pPr>
        <w:widowControl w:val="0"/>
        <w:pBdr>
          <w:top w:val="nil"/>
          <w:left w:val="nil"/>
          <w:bottom w:val="nil"/>
          <w:right w:val="nil"/>
          <w:between w:val="nil"/>
        </w:pBdr>
        <w:spacing w:before="8"/>
        <w:jc w:val="left"/>
        <w:rPr>
          <w:rFonts w:ascii="Verdana" w:eastAsia="Verdana" w:hAnsi="Verdana" w:cs="Verdana"/>
          <w:b/>
          <w:color w:val="000000"/>
          <w:sz w:val="18"/>
          <w:szCs w:val="18"/>
        </w:rPr>
      </w:pPr>
    </w:p>
    <w:p w14:paraId="24D7A290" w14:textId="77777777" w:rsidR="00810B4F" w:rsidRDefault="008042D8">
      <w:pPr>
        <w:widowControl w:val="0"/>
        <w:pBdr>
          <w:top w:val="nil"/>
          <w:left w:val="nil"/>
          <w:bottom w:val="nil"/>
          <w:right w:val="nil"/>
          <w:between w:val="nil"/>
        </w:pBdr>
        <w:spacing w:line="225" w:lineRule="auto"/>
        <w:ind w:left="159" w:right="599"/>
        <w:jc w:val="left"/>
        <w:rPr>
          <w:rFonts w:ascii="Verdana" w:eastAsia="Verdana" w:hAnsi="Verdana" w:cs="Verdana"/>
          <w:color w:val="000000"/>
          <w:sz w:val="18"/>
          <w:szCs w:val="18"/>
        </w:rPr>
      </w:pPr>
      <w:r>
        <w:rPr>
          <w:rFonts w:ascii="Verdana" w:eastAsia="Verdana" w:hAnsi="Verdana" w:cs="Verdana"/>
          <w:color w:val="000000"/>
          <w:sz w:val="18"/>
          <w:szCs w:val="18"/>
        </w:rPr>
        <w:t>Professionals in this Technology Consulting group offer both advisory and deployment services that provide clients with comprehensive solutions to help them better manage the critical business functions. We accomplish this mission through continued development of people in our Technology Consulting Service Line – SA&amp;MA: Analytics &amp; Cognitive (A&amp;C)</w:t>
      </w:r>
    </w:p>
    <w:p w14:paraId="7F842681" w14:textId="77777777" w:rsidR="00810B4F" w:rsidRDefault="00810B4F">
      <w:pPr>
        <w:widowControl w:val="0"/>
        <w:pBdr>
          <w:top w:val="nil"/>
          <w:left w:val="nil"/>
          <w:bottom w:val="nil"/>
          <w:right w:val="nil"/>
          <w:between w:val="nil"/>
        </w:pBdr>
        <w:spacing w:before="11"/>
        <w:jc w:val="left"/>
        <w:rPr>
          <w:rFonts w:ascii="Verdana" w:eastAsia="Verdana" w:hAnsi="Verdana" w:cs="Verdana"/>
          <w:color w:val="000000"/>
          <w:sz w:val="19"/>
          <w:szCs w:val="19"/>
        </w:rPr>
      </w:pPr>
    </w:p>
    <w:p w14:paraId="0BC62BE9" w14:textId="77777777" w:rsidR="00810B4F" w:rsidRDefault="008042D8">
      <w:pPr>
        <w:ind w:left="159"/>
        <w:rPr>
          <w:rFonts w:ascii="Verdana" w:eastAsia="Verdana" w:hAnsi="Verdana" w:cs="Verdana"/>
          <w:b/>
          <w:color w:val="5F8E1B"/>
          <w:sz w:val="18"/>
          <w:szCs w:val="18"/>
        </w:rPr>
      </w:pPr>
      <w:r>
        <w:rPr>
          <w:rFonts w:ascii="Verdana" w:eastAsia="Verdana" w:hAnsi="Verdana" w:cs="Verdana"/>
          <w:b/>
          <w:color w:val="5F8E1B"/>
          <w:sz w:val="18"/>
          <w:szCs w:val="18"/>
        </w:rPr>
        <w:t>Prime responsibilities:</w:t>
      </w:r>
    </w:p>
    <w:p w14:paraId="4C8F45A9" w14:textId="77777777" w:rsidR="00810B4F" w:rsidRDefault="00810B4F">
      <w:pPr>
        <w:widowControl w:val="0"/>
        <w:pBdr>
          <w:top w:val="nil"/>
          <w:left w:val="nil"/>
          <w:bottom w:val="nil"/>
          <w:right w:val="nil"/>
          <w:between w:val="nil"/>
        </w:pBdr>
        <w:spacing w:before="11"/>
        <w:jc w:val="left"/>
        <w:rPr>
          <w:rFonts w:ascii="Verdana" w:eastAsia="Verdana" w:hAnsi="Verdana" w:cs="Verdana"/>
          <w:b/>
          <w:color w:val="000000"/>
          <w:sz w:val="16"/>
          <w:szCs w:val="16"/>
        </w:rPr>
      </w:pPr>
    </w:p>
    <w:p w14:paraId="2F705131" w14:textId="77777777" w:rsidR="00810B4F" w:rsidRDefault="008042D8">
      <w:pPr>
        <w:widowControl w:val="0"/>
        <w:numPr>
          <w:ilvl w:val="0"/>
          <w:numId w:val="1"/>
        </w:numPr>
        <w:pBdr>
          <w:top w:val="nil"/>
          <w:left w:val="nil"/>
          <w:bottom w:val="nil"/>
          <w:right w:val="nil"/>
          <w:between w:val="nil"/>
        </w:pBdr>
        <w:tabs>
          <w:tab w:val="left" w:pos="721"/>
          <w:tab w:val="left" w:pos="722"/>
        </w:tabs>
        <w:ind w:hanging="361"/>
        <w:jc w:val="left"/>
        <w:rPr>
          <w:color w:val="000000"/>
        </w:rPr>
      </w:pPr>
      <w:r>
        <w:rPr>
          <w:rFonts w:ascii="Verdana" w:eastAsia="Verdana" w:hAnsi="Verdana" w:cs="Verdana"/>
          <w:color w:val="000000"/>
          <w:sz w:val="18"/>
          <w:szCs w:val="18"/>
        </w:rPr>
        <w:t>Translate Business goals into technology roadmaps and architecture designs</w:t>
      </w:r>
    </w:p>
    <w:p w14:paraId="02E794C1" w14:textId="77777777" w:rsidR="00810B4F" w:rsidRDefault="008042D8">
      <w:pPr>
        <w:widowControl w:val="0"/>
        <w:numPr>
          <w:ilvl w:val="0"/>
          <w:numId w:val="1"/>
        </w:numPr>
        <w:pBdr>
          <w:top w:val="nil"/>
          <w:left w:val="nil"/>
          <w:bottom w:val="nil"/>
          <w:right w:val="nil"/>
          <w:between w:val="nil"/>
        </w:pBdr>
        <w:tabs>
          <w:tab w:val="left" w:pos="721"/>
          <w:tab w:val="left" w:pos="722"/>
        </w:tabs>
        <w:spacing w:before="3" w:line="237" w:lineRule="auto"/>
        <w:ind w:right="1050"/>
        <w:jc w:val="left"/>
        <w:rPr>
          <w:color w:val="000000"/>
        </w:rPr>
      </w:pPr>
      <w:r>
        <w:rPr>
          <w:rFonts w:ascii="Verdana" w:eastAsia="Verdana" w:hAnsi="Verdana" w:cs="Verdana"/>
          <w:color w:val="000000"/>
          <w:sz w:val="18"/>
          <w:szCs w:val="18"/>
        </w:rPr>
        <w:t>Help clients in their technology led Business transformation programs from ideation to implementation</w:t>
      </w:r>
    </w:p>
    <w:p w14:paraId="09425C53" w14:textId="77777777" w:rsidR="00810B4F" w:rsidRDefault="008042D8">
      <w:pPr>
        <w:widowControl w:val="0"/>
        <w:numPr>
          <w:ilvl w:val="0"/>
          <w:numId w:val="1"/>
        </w:numPr>
        <w:pBdr>
          <w:top w:val="nil"/>
          <w:left w:val="nil"/>
          <w:bottom w:val="nil"/>
          <w:right w:val="nil"/>
          <w:between w:val="nil"/>
        </w:pBdr>
        <w:tabs>
          <w:tab w:val="left" w:pos="721"/>
          <w:tab w:val="left" w:pos="722"/>
        </w:tabs>
        <w:ind w:right="343"/>
        <w:jc w:val="left"/>
        <w:rPr>
          <w:color w:val="000000"/>
        </w:rPr>
      </w:pPr>
      <w:r>
        <w:rPr>
          <w:rFonts w:ascii="Verdana" w:eastAsia="Verdana" w:hAnsi="Verdana" w:cs="Verdana"/>
          <w:color w:val="000000"/>
          <w:sz w:val="18"/>
          <w:szCs w:val="18"/>
        </w:rPr>
        <w:t xml:space="preserve">Conduct research, analyze industry reports and Deloitte resources to create Point </w:t>
      </w:r>
      <w:proofErr w:type="gramStart"/>
      <w:r>
        <w:rPr>
          <w:rFonts w:ascii="Verdana" w:eastAsia="Verdana" w:hAnsi="Verdana" w:cs="Verdana"/>
          <w:color w:val="000000"/>
          <w:sz w:val="18"/>
          <w:szCs w:val="18"/>
        </w:rPr>
        <w:t>Of</w:t>
      </w:r>
      <w:proofErr w:type="gramEnd"/>
      <w:r>
        <w:rPr>
          <w:rFonts w:ascii="Verdana" w:eastAsia="Verdana" w:hAnsi="Verdana" w:cs="Verdana"/>
          <w:color w:val="000000"/>
          <w:sz w:val="18"/>
          <w:szCs w:val="18"/>
        </w:rPr>
        <w:t xml:space="preserve"> Views for clients and help Deloitte pursue new business opportunities</w:t>
      </w:r>
    </w:p>
    <w:p w14:paraId="51DC9613" w14:textId="77777777" w:rsidR="00810B4F" w:rsidRDefault="008042D8">
      <w:pPr>
        <w:widowControl w:val="0"/>
        <w:numPr>
          <w:ilvl w:val="0"/>
          <w:numId w:val="1"/>
        </w:numPr>
        <w:pBdr>
          <w:top w:val="nil"/>
          <w:left w:val="nil"/>
          <w:bottom w:val="nil"/>
          <w:right w:val="nil"/>
          <w:between w:val="nil"/>
        </w:pBdr>
        <w:tabs>
          <w:tab w:val="left" w:pos="721"/>
          <w:tab w:val="left" w:pos="722"/>
        </w:tabs>
        <w:spacing w:line="237" w:lineRule="auto"/>
        <w:ind w:right="440"/>
        <w:jc w:val="left"/>
        <w:rPr>
          <w:color w:val="000000"/>
        </w:rPr>
      </w:pPr>
      <w:r>
        <w:rPr>
          <w:rFonts w:ascii="Verdana" w:eastAsia="Verdana" w:hAnsi="Verdana" w:cs="Verdana"/>
          <w:color w:val="000000"/>
          <w:sz w:val="18"/>
          <w:szCs w:val="18"/>
        </w:rPr>
        <w:t>Assist your service line in eminence building activities by publishing whitepapers and thought papers</w:t>
      </w:r>
    </w:p>
    <w:p w14:paraId="16763109" w14:textId="77777777" w:rsidR="00810B4F" w:rsidRDefault="00810B4F">
      <w:pPr>
        <w:widowControl w:val="0"/>
        <w:pBdr>
          <w:top w:val="nil"/>
          <w:left w:val="nil"/>
          <w:bottom w:val="nil"/>
          <w:right w:val="nil"/>
          <w:between w:val="nil"/>
        </w:pBdr>
        <w:tabs>
          <w:tab w:val="left" w:pos="721"/>
          <w:tab w:val="left" w:pos="722"/>
        </w:tabs>
        <w:spacing w:line="237" w:lineRule="auto"/>
        <w:ind w:left="721" w:right="440"/>
        <w:jc w:val="left"/>
        <w:rPr>
          <w:rFonts w:ascii="Verdana" w:eastAsia="Verdana" w:hAnsi="Verdana" w:cs="Verdana"/>
          <w:color w:val="000000"/>
          <w:sz w:val="18"/>
          <w:szCs w:val="18"/>
        </w:rPr>
      </w:pPr>
    </w:p>
    <w:p w14:paraId="4F43DE2A" w14:textId="77777777" w:rsidR="00810B4F" w:rsidRDefault="008042D8">
      <w:pPr>
        <w:widowControl w:val="0"/>
        <w:pBdr>
          <w:top w:val="nil"/>
          <w:left w:val="nil"/>
          <w:bottom w:val="nil"/>
          <w:right w:val="nil"/>
          <w:between w:val="nil"/>
        </w:pBdr>
        <w:jc w:val="left"/>
        <w:rPr>
          <w:rFonts w:ascii="Verdana" w:eastAsia="Verdana" w:hAnsi="Verdana" w:cs="Verdana"/>
          <w:b/>
          <w:color w:val="5F8E1B"/>
          <w:sz w:val="18"/>
          <w:szCs w:val="18"/>
        </w:rPr>
      </w:pPr>
      <w:r>
        <w:rPr>
          <w:rFonts w:ascii="Verdana" w:eastAsia="Verdana" w:hAnsi="Verdana" w:cs="Verdana"/>
          <w:b/>
          <w:color w:val="5F8E1B"/>
          <w:sz w:val="18"/>
          <w:szCs w:val="18"/>
        </w:rPr>
        <w:t>Knowledge, Skills and Abilities Required</w:t>
      </w:r>
    </w:p>
    <w:p w14:paraId="79AEDE6D" w14:textId="77777777" w:rsidR="00810B4F" w:rsidRDefault="00810B4F">
      <w:pPr>
        <w:widowControl w:val="0"/>
        <w:pBdr>
          <w:top w:val="nil"/>
          <w:left w:val="nil"/>
          <w:bottom w:val="nil"/>
          <w:right w:val="nil"/>
          <w:between w:val="nil"/>
        </w:pBdr>
        <w:spacing w:before="1"/>
        <w:jc w:val="left"/>
        <w:rPr>
          <w:rFonts w:ascii="Verdana" w:eastAsia="Verdana" w:hAnsi="Verdana" w:cs="Verdana"/>
          <w:b/>
          <w:color w:val="000000"/>
          <w:sz w:val="18"/>
          <w:szCs w:val="18"/>
        </w:rPr>
      </w:pPr>
    </w:p>
    <w:p w14:paraId="4497EE63" w14:textId="77777777" w:rsidR="00810B4F" w:rsidRDefault="008042D8">
      <w:pPr>
        <w:widowControl w:val="0"/>
        <w:numPr>
          <w:ilvl w:val="0"/>
          <w:numId w:val="1"/>
        </w:numPr>
        <w:pBdr>
          <w:top w:val="nil"/>
          <w:left w:val="nil"/>
          <w:bottom w:val="nil"/>
          <w:right w:val="nil"/>
          <w:between w:val="nil"/>
        </w:pBdr>
        <w:tabs>
          <w:tab w:val="left" w:pos="721"/>
          <w:tab w:val="left" w:pos="722"/>
        </w:tabs>
        <w:spacing w:line="237" w:lineRule="auto"/>
        <w:ind w:right="1171"/>
        <w:jc w:val="left"/>
        <w:rPr>
          <w:color w:val="000000"/>
        </w:rPr>
      </w:pPr>
      <w:r>
        <w:rPr>
          <w:rFonts w:ascii="Verdana" w:eastAsia="Verdana" w:hAnsi="Verdana" w:cs="Verdana"/>
          <w:color w:val="000000"/>
          <w:sz w:val="18"/>
          <w:szCs w:val="18"/>
        </w:rPr>
        <w:t>Deep understanding of Technology's impact on Business and knowledge of emerging technologies</w:t>
      </w:r>
    </w:p>
    <w:p w14:paraId="13A1304C" w14:textId="77777777" w:rsidR="00810B4F" w:rsidRDefault="008042D8">
      <w:pPr>
        <w:widowControl w:val="0"/>
        <w:numPr>
          <w:ilvl w:val="0"/>
          <w:numId w:val="1"/>
        </w:numPr>
        <w:pBdr>
          <w:top w:val="nil"/>
          <w:left w:val="nil"/>
          <w:bottom w:val="nil"/>
          <w:right w:val="nil"/>
          <w:between w:val="nil"/>
        </w:pBdr>
        <w:tabs>
          <w:tab w:val="left" w:pos="721"/>
          <w:tab w:val="left" w:pos="722"/>
        </w:tabs>
        <w:ind w:right="268"/>
        <w:jc w:val="left"/>
        <w:rPr>
          <w:color w:val="000000"/>
        </w:rPr>
      </w:pPr>
      <w:r>
        <w:rPr>
          <w:rFonts w:ascii="Verdana" w:eastAsia="Verdana" w:hAnsi="Verdana" w:cs="Verdana"/>
          <w:color w:val="000000"/>
          <w:sz w:val="18"/>
          <w:szCs w:val="18"/>
        </w:rPr>
        <w:t>Understanding of various industry value chains and the opportunities to leverage technology to improve business</w:t>
      </w:r>
    </w:p>
    <w:p w14:paraId="29C68F67" w14:textId="77777777" w:rsidR="00810B4F" w:rsidRDefault="008042D8">
      <w:pPr>
        <w:widowControl w:val="0"/>
        <w:numPr>
          <w:ilvl w:val="0"/>
          <w:numId w:val="1"/>
        </w:numPr>
        <w:pBdr>
          <w:top w:val="nil"/>
          <w:left w:val="nil"/>
          <w:bottom w:val="nil"/>
          <w:right w:val="nil"/>
          <w:between w:val="nil"/>
        </w:pBdr>
        <w:tabs>
          <w:tab w:val="left" w:pos="721"/>
          <w:tab w:val="left" w:pos="722"/>
        </w:tabs>
        <w:spacing w:line="219" w:lineRule="auto"/>
        <w:ind w:hanging="361"/>
        <w:jc w:val="left"/>
        <w:rPr>
          <w:color w:val="000000"/>
        </w:rPr>
      </w:pPr>
      <w:r>
        <w:rPr>
          <w:rFonts w:ascii="Verdana" w:eastAsia="Verdana" w:hAnsi="Verdana" w:cs="Verdana"/>
          <w:color w:val="000000"/>
          <w:sz w:val="18"/>
          <w:szCs w:val="18"/>
        </w:rPr>
        <w:t>End-to-End project delivery experience</w:t>
      </w:r>
    </w:p>
    <w:p w14:paraId="41783A4F" w14:textId="77777777" w:rsidR="00810B4F" w:rsidRDefault="008042D8">
      <w:pPr>
        <w:widowControl w:val="0"/>
        <w:numPr>
          <w:ilvl w:val="0"/>
          <w:numId w:val="1"/>
        </w:numPr>
        <w:pBdr>
          <w:top w:val="nil"/>
          <w:left w:val="nil"/>
          <w:bottom w:val="nil"/>
          <w:right w:val="nil"/>
          <w:between w:val="nil"/>
        </w:pBdr>
        <w:tabs>
          <w:tab w:val="left" w:pos="721"/>
          <w:tab w:val="left" w:pos="722"/>
        </w:tabs>
        <w:spacing w:before="1" w:line="237" w:lineRule="auto"/>
        <w:ind w:right="107"/>
        <w:jc w:val="left"/>
        <w:rPr>
          <w:color w:val="000000"/>
        </w:rPr>
      </w:pPr>
      <w:r>
        <w:rPr>
          <w:rFonts w:ascii="Verdana" w:eastAsia="Verdana" w:hAnsi="Verdana" w:cs="Verdana"/>
          <w:color w:val="000000"/>
          <w:sz w:val="18"/>
          <w:szCs w:val="18"/>
        </w:rPr>
        <w:t xml:space="preserve">Prior experience in platforms – Data Management, Data Warehousing, Data Governance, Master Data Management, Big data (Hadoop, HIVE, Kafka, Spark, Sqoop, Scala), Azure, AWS, Visualization (Tableau, </w:t>
      </w:r>
      <w:proofErr w:type="spellStart"/>
      <w:r>
        <w:rPr>
          <w:rFonts w:ascii="Verdana" w:eastAsia="Verdana" w:hAnsi="Verdana" w:cs="Verdana"/>
          <w:color w:val="000000"/>
          <w:sz w:val="18"/>
          <w:szCs w:val="18"/>
        </w:rPr>
        <w:t>Qlikview</w:t>
      </w:r>
      <w:proofErr w:type="spellEnd"/>
      <w:r>
        <w:rPr>
          <w:rFonts w:ascii="Verdana" w:eastAsia="Verdana" w:hAnsi="Verdana" w:cs="Verdana"/>
          <w:color w:val="000000"/>
          <w:sz w:val="18"/>
          <w:szCs w:val="18"/>
        </w:rPr>
        <w:t xml:space="preserve">, </w:t>
      </w:r>
      <w:proofErr w:type="spellStart"/>
      <w:r>
        <w:rPr>
          <w:rFonts w:ascii="Verdana" w:eastAsia="Verdana" w:hAnsi="Verdana" w:cs="Verdana"/>
          <w:color w:val="000000"/>
          <w:sz w:val="18"/>
          <w:szCs w:val="18"/>
        </w:rPr>
        <w:t>PowerBI</w:t>
      </w:r>
      <w:proofErr w:type="spellEnd"/>
      <w:r>
        <w:rPr>
          <w:rFonts w:ascii="Verdana" w:eastAsia="Verdana" w:hAnsi="Verdana" w:cs="Verdana"/>
          <w:color w:val="000000"/>
          <w:sz w:val="18"/>
          <w:szCs w:val="18"/>
        </w:rPr>
        <w:t xml:space="preserve"> etc.), Data Science, Intelligent Automation is preferred</w:t>
      </w:r>
    </w:p>
    <w:p w14:paraId="3C61C503" w14:textId="77777777" w:rsidR="00810B4F" w:rsidRDefault="00810B4F">
      <w:pPr>
        <w:shd w:val="clear" w:color="auto" w:fill="FFFCF9"/>
        <w:jc w:val="left"/>
        <w:rPr>
          <w:color w:val="262626"/>
          <w:u w:val="single"/>
        </w:rPr>
      </w:pPr>
    </w:p>
    <w:p w14:paraId="0DCFD58A" w14:textId="77777777" w:rsidR="00810B4F" w:rsidRDefault="008042D8">
      <w:pPr>
        <w:pStyle w:val="Heading1"/>
        <w:spacing w:before="101"/>
        <w:rPr>
          <w:rFonts w:ascii="Verdana" w:eastAsia="Verdana" w:hAnsi="Verdana" w:cs="Verdana"/>
          <w:color w:val="5F8E1B"/>
          <w:sz w:val="18"/>
          <w:szCs w:val="18"/>
        </w:rPr>
      </w:pPr>
      <w:r>
        <w:rPr>
          <w:rFonts w:ascii="Verdana" w:eastAsia="Verdana" w:hAnsi="Verdana" w:cs="Verdana"/>
          <w:color w:val="5F8E1B"/>
          <w:sz w:val="18"/>
          <w:szCs w:val="18"/>
        </w:rPr>
        <w:t>Your role as a leader</w:t>
      </w:r>
    </w:p>
    <w:p w14:paraId="793FD39D" w14:textId="77777777" w:rsidR="00810B4F" w:rsidRDefault="00810B4F">
      <w:pPr>
        <w:widowControl w:val="0"/>
        <w:pBdr>
          <w:top w:val="nil"/>
          <w:left w:val="nil"/>
          <w:bottom w:val="nil"/>
          <w:right w:val="nil"/>
          <w:between w:val="nil"/>
        </w:pBdr>
        <w:spacing w:before="11"/>
        <w:jc w:val="left"/>
        <w:rPr>
          <w:rFonts w:ascii="Verdana" w:eastAsia="Verdana" w:hAnsi="Verdana" w:cs="Verdana"/>
          <w:b/>
          <w:color w:val="000000"/>
          <w:sz w:val="17"/>
          <w:szCs w:val="17"/>
        </w:rPr>
      </w:pPr>
    </w:p>
    <w:p w14:paraId="20A62EFD" w14:textId="77777777" w:rsidR="00810B4F" w:rsidRDefault="008042D8">
      <w:pPr>
        <w:widowControl w:val="0"/>
        <w:pBdr>
          <w:top w:val="nil"/>
          <w:left w:val="nil"/>
          <w:bottom w:val="nil"/>
          <w:right w:val="nil"/>
          <w:between w:val="nil"/>
        </w:pBdr>
        <w:ind w:left="140" w:right="198"/>
        <w:jc w:val="left"/>
        <w:rPr>
          <w:rFonts w:ascii="Verdana" w:eastAsia="Verdana" w:hAnsi="Verdana" w:cs="Verdana"/>
          <w:color w:val="000000"/>
          <w:sz w:val="18"/>
          <w:szCs w:val="18"/>
        </w:rPr>
      </w:pPr>
      <w:r>
        <w:rPr>
          <w:rFonts w:ascii="Verdana" w:eastAsia="Verdana" w:hAnsi="Verdana" w:cs="Verdana"/>
          <w:color w:val="000000"/>
          <w:sz w:val="18"/>
          <w:szCs w:val="18"/>
        </w:rPr>
        <w:t>At Deloitte India, we believe in the importance of leadership at all levels. We expect our people to embrace and live our purpose by challenging themselves to identify issues that are most important for our clients, our people, and for society and make an impact that matters.</w:t>
      </w:r>
    </w:p>
    <w:p w14:paraId="22656A9E" w14:textId="77777777" w:rsidR="00810B4F" w:rsidRDefault="00810B4F">
      <w:pPr>
        <w:widowControl w:val="0"/>
        <w:pBdr>
          <w:top w:val="nil"/>
          <w:left w:val="nil"/>
          <w:bottom w:val="nil"/>
          <w:right w:val="nil"/>
          <w:between w:val="nil"/>
        </w:pBdr>
        <w:spacing w:before="1"/>
        <w:jc w:val="left"/>
        <w:rPr>
          <w:rFonts w:ascii="Verdana" w:eastAsia="Verdana" w:hAnsi="Verdana" w:cs="Verdana"/>
          <w:color w:val="000000"/>
          <w:sz w:val="18"/>
          <w:szCs w:val="18"/>
        </w:rPr>
      </w:pPr>
    </w:p>
    <w:p w14:paraId="27B7E68C" w14:textId="77777777" w:rsidR="00810B4F" w:rsidRDefault="008042D8">
      <w:pPr>
        <w:widowControl w:val="0"/>
        <w:pBdr>
          <w:top w:val="nil"/>
          <w:left w:val="nil"/>
          <w:bottom w:val="nil"/>
          <w:right w:val="nil"/>
          <w:between w:val="nil"/>
        </w:pBdr>
        <w:ind w:left="140"/>
        <w:jc w:val="left"/>
        <w:rPr>
          <w:rFonts w:ascii="Verdana" w:eastAsia="Verdana" w:hAnsi="Verdana" w:cs="Verdana"/>
          <w:color w:val="000000"/>
          <w:sz w:val="18"/>
          <w:szCs w:val="18"/>
        </w:rPr>
      </w:pPr>
      <w:r>
        <w:rPr>
          <w:rFonts w:ascii="Verdana" w:eastAsia="Verdana" w:hAnsi="Verdana" w:cs="Verdana"/>
          <w:color w:val="000000"/>
          <w:sz w:val="18"/>
          <w:szCs w:val="18"/>
        </w:rPr>
        <w:t>In addition to living our purpose, analysts across our organization:</w:t>
      </w:r>
    </w:p>
    <w:p w14:paraId="551456B5" w14:textId="77777777" w:rsidR="00810B4F" w:rsidRDefault="00810B4F">
      <w:pPr>
        <w:widowControl w:val="0"/>
        <w:pBdr>
          <w:top w:val="nil"/>
          <w:left w:val="nil"/>
          <w:bottom w:val="nil"/>
          <w:right w:val="nil"/>
          <w:between w:val="nil"/>
        </w:pBdr>
        <w:spacing w:before="8"/>
        <w:jc w:val="left"/>
        <w:rPr>
          <w:rFonts w:ascii="Verdana" w:eastAsia="Verdana" w:hAnsi="Verdana" w:cs="Verdana"/>
          <w:color w:val="000000"/>
          <w:sz w:val="20"/>
          <w:szCs w:val="20"/>
        </w:rPr>
      </w:pPr>
    </w:p>
    <w:p w14:paraId="084F5365" w14:textId="77777777" w:rsidR="00810B4F" w:rsidRDefault="008042D8">
      <w:pPr>
        <w:widowControl w:val="0"/>
        <w:numPr>
          <w:ilvl w:val="1"/>
          <w:numId w:val="1"/>
        </w:numPr>
        <w:pBdr>
          <w:top w:val="nil"/>
          <w:left w:val="nil"/>
          <w:bottom w:val="nil"/>
          <w:right w:val="nil"/>
          <w:between w:val="nil"/>
        </w:pBdr>
        <w:tabs>
          <w:tab w:val="left" w:pos="860"/>
          <w:tab w:val="left" w:pos="861"/>
        </w:tabs>
        <w:spacing w:before="1" w:line="230" w:lineRule="auto"/>
        <w:ind w:right="1092"/>
        <w:jc w:val="left"/>
        <w:rPr>
          <w:color w:val="000000"/>
        </w:rPr>
      </w:pPr>
      <w:r>
        <w:rPr>
          <w:rFonts w:ascii="Verdana" w:eastAsia="Verdana" w:hAnsi="Verdana" w:cs="Verdana"/>
          <w:color w:val="000000"/>
          <w:sz w:val="18"/>
          <w:szCs w:val="18"/>
        </w:rPr>
        <w:t>Develops self by actively seeking opportunities for growth, shares knowledge and experiences with others, and acts as a strong brand ambassador.</w:t>
      </w:r>
    </w:p>
    <w:p w14:paraId="663F03E9" w14:textId="77777777" w:rsidR="00810B4F" w:rsidRDefault="008042D8">
      <w:pPr>
        <w:widowControl w:val="0"/>
        <w:numPr>
          <w:ilvl w:val="1"/>
          <w:numId w:val="1"/>
        </w:numPr>
        <w:pBdr>
          <w:top w:val="nil"/>
          <w:left w:val="nil"/>
          <w:bottom w:val="nil"/>
          <w:right w:val="nil"/>
          <w:between w:val="nil"/>
        </w:pBdr>
        <w:tabs>
          <w:tab w:val="left" w:pos="860"/>
          <w:tab w:val="left" w:pos="861"/>
        </w:tabs>
        <w:spacing w:before="6" w:line="232" w:lineRule="auto"/>
        <w:ind w:right="308"/>
        <w:jc w:val="left"/>
        <w:rPr>
          <w:color w:val="000000"/>
        </w:rPr>
      </w:pPr>
      <w:r>
        <w:rPr>
          <w:rFonts w:ascii="Verdana" w:eastAsia="Verdana" w:hAnsi="Verdana" w:cs="Verdana"/>
          <w:color w:val="000000"/>
          <w:sz w:val="18"/>
          <w:szCs w:val="18"/>
        </w:rPr>
        <w:t>Seeks opportunities to challenge self; teams with others across businesses and borders to deliver and takes accountability for own and team results</w:t>
      </w:r>
    </w:p>
    <w:p w14:paraId="1A85E0A8" w14:textId="77777777" w:rsidR="00810B4F" w:rsidRDefault="008042D8">
      <w:pPr>
        <w:widowControl w:val="0"/>
        <w:numPr>
          <w:ilvl w:val="1"/>
          <w:numId w:val="1"/>
        </w:numPr>
        <w:pBdr>
          <w:top w:val="nil"/>
          <w:left w:val="nil"/>
          <w:bottom w:val="nil"/>
          <w:right w:val="nil"/>
          <w:between w:val="nil"/>
        </w:pBdr>
        <w:tabs>
          <w:tab w:val="left" w:pos="860"/>
          <w:tab w:val="left" w:pos="861"/>
        </w:tabs>
        <w:spacing w:before="6" w:line="232" w:lineRule="auto"/>
        <w:ind w:right="337"/>
        <w:jc w:val="left"/>
        <w:rPr>
          <w:color w:val="000000"/>
        </w:rPr>
      </w:pPr>
      <w:r>
        <w:rPr>
          <w:rFonts w:ascii="Verdana" w:eastAsia="Verdana" w:hAnsi="Verdana" w:cs="Verdana"/>
          <w:color w:val="000000"/>
          <w:sz w:val="18"/>
          <w:szCs w:val="18"/>
        </w:rPr>
        <w:t xml:space="preserve">Builds relationships and communicates effectively in order to positively influence peers and </w:t>
      </w:r>
      <w:r>
        <w:rPr>
          <w:rFonts w:ascii="Verdana" w:eastAsia="Verdana" w:hAnsi="Verdana" w:cs="Verdana"/>
          <w:color w:val="000000"/>
          <w:sz w:val="18"/>
          <w:szCs w:val="18"/>
        </w:rPr>
        <w:lastRenderedPageBreak/>
        <w:t>other stakeholders</w:t>
      </w:r>
    </w:p>
    <w:p w14:paraId="1D084CCC" w14:textId="77777777" w:rsidR="00810B4F" w:rsidRDefault="008042D8">
      <w:pPr>
        <w:widowControl w:val="0"/>
        <w:numPr>
          <w:ilvl w:val="1"/>
          <w:numId w:val="1"/>
        </w:numPr>
        <w:pBdr>
          <w:top w:val="nil"/>
          <w:left w:val="nil"/>
          <w:bottom w:val="nil"/>
          <w:right w:val="nil"/>
          <w:between w:val="nil"/>
        </w:pBdr>
        <w:tabs>
          <w:tab w:val="left" w:pos="860"/>
          <w:tab w:val="left" w:pos="861"/>
        </w:tabs>
        <w:spacing w:before="10" w:line="230" w:lineRule="auto"/>
        <w:ind w:right="624"/>
        <w:jc w:val="left"/>
        <w:rPr>
          <w:color w:val="000000"/>
        </w:rPr>
      </w:pPr>
      <w:r>
        <w:rPr>
          <w:rFonts w:ascii="Verdana" w:eastAsia="Verdana" w:hAnsi="Verdana" w:cs="Verdana"/>
          <w:color w:val="000000"/>
          <w:sz w:val="18"/>
          <w:szCs w:val="18"/>
        </w:rPr>
        <w:t>Understands objectives for clients and Deloitte, aligns own work to objectives and sets personal priorities</w:t>
      </w:r>
    </w:p>
    <w:p w14:paraId="6276F7B0" w14:textId="77777777" w:rsidR="00810B4F" w:rsidRDefault="00810B4F">
      <w:pPr>
        <w:widowControl w:val="0"/>
        <w:pBdr>
          <w:top w:val="nil"/>
          <w:left w:val="nil"/>
          <w:bottom w:val="nil"/>
          <w:right w:val="nil"/>
          <w:between w:val="nil"/>
        </w:pBdr>
        <w:spacing w:before="10"/>
        <w:jc w:val="left"/>
        <w:rPr>
          <w:rFonts w:ascii="Verdana" w:eastAsia="Verdana" w:hAnsi="Verdana" w:cs="Verdana"/>
          <w:color w:val="000000"/>
          <w:sz w:val="17"/>
          <w:szCs w:val="17"/>
        </w:rPr>
      </w:pPr>
    </w:p>
    <w:p w14:paraId="09090304" w14:textId="77777777" w:rsidR="00810B4F" w:rsidRDefault="008042D8">
      <w:pPr>
        <w:pStyle w:val="Heading1"/>
        <w:spacing w:before="101"/>
        <w:rPr>
          <w:rFonts w:ascii="Verdana" w:eastAsia="Verdana" w:hAnsi="Verdana" w:cs="Verdana"/>
          <w:color w:val="5F8E1B"/>
          <w:sz w:val="18"/>
          <w:szCs w:val="18"/>
        </w:rPr>
      </w:pPr>
      <w:r>
        <w:rPr>
          <w:rFonts w:ascii="Verdana" w:eastAsia="Verdana" w:hAnsi="Verdana" w:cs="Verdana"/>
          <w:color w:val="5F8E1B"/>
          <w:sz w:val="18"/>
          <w:szCs w:val="18"/>
        </w:rPr>
        <w:t>How you’ll grow</w:t>
      </w:r>
    </w:p>
    <w:p w14:paraId="39C56F65" w14:textId="77777777" w:rsidR="00810B4F" w:rsidRDefault="00810B4F">
      <w:pPr>
        <w:widowControl w:val="0"/>
        <w:pBdr>
          <w:top w:val="nil"/>
          <w:left w:val="nil"/>
          <w:bottom w:val="nil"/>
          <w:right w:val="nil"/>
          <w:between w:val="nil"/>
        </w:pBdr>
        <w:spacing w:before="7"/>
        <w:jc w:val="left"/>
        <w:rPr>
          <w:rFonts w:ascii="Verdana" w:eastAsia="Verdana" w:hAnsi="Verdana" w:cs="Verdana"/>
          <w:b/>
          <w:color w:val="000000"/>
          <w:sz w:val="18"/>
          <w:szCs w:val="18"/>
        </w:rPr>
      </w:pPr>
    </w:p>
    <w:p w14:paraId="664F3F58" w14:textId="77777777" w:rsidR="00810B4F" w:rsidRDefault="008042D8">
      <w:pPr>
        <w:widowControl w:val="0"/>
        <w:pBdr>
          <w:top w:val="nil"/>
          <w:left w:val="nil"/>
          <w:bottom w:val="nil"/>
          <w:right w:val="nil"/>
          <w:between w:val="nil"/>
        </w:pBdr>
        <w:ind w:left="140" w:right="563"/>
        <w:jc w:val="left"/>
        <w:rPr>
          <w:rFonts w:ascii="Verdana" w:eastAsia="Verdana" w:hAnsi="Verdana" w:cs="Verdana"/>
          <w:color w:val="000000"/>
          <w:sz w:val="18"/>
          <w:szCs w:val="18"/>
        </w:rPr>
      </w:pPr>
      <w:r>
        <w:rPr>
          <w:rFonts w:ascii="Verdana" w:eastAsia="Verdana" w:hAnsi="Verdana" w:cs="Verdana"/>
          <w:color w:val="000000"/>
          <w:sz w:val="18"/>
          <w:szCs w:val="18"/>
        </w:rPr>
        <w:t>At Deloitte, our professional development plan focuses on helping people at every level of their career to identify and use their strengths to do their best work every day. From entry-level</w:t>
      </w:r>
    </w:p>
    <w:p w14:paraId="093E0204" w14:textId="77777777" w:rsidR="00810B4F" w:rsidRDefault="008042D8">
      <w:pPr>
        <w:widowControl w:val="0"/>
        <w:pBdr>
          <w:top w:val="nil"/>
          <w:left w:val="nil"/>
          <w:bottom w:val="nil"/>
          <w:right w:val="nil"/>
          <w:between w:val="nil"/>
        </w:pBdr>
        <w:ind w:left="140" w:right="253"/>
        <w:jc w:val="left"/>
        <w:rPr>
          <w:rFonts w:ascii="Verdana" w:eastAsia="Verdana" w:hAnsi="Verdana" w:cs="Verdana"/>
          <w:color w:val="000000"/>
          <w:sz w:val="18"/>
          <w:szCs w:val="18"/>
        </w:rPr>
      </w:pPr>
      <w:r>
        <w:rPr>
          <w:rFonts w:ascii="Verdana" w:eastAsia="Verdana" w:hAnsi="Verdana" w:cs="Verdana"/>
          <w:color w:val="000000"/>
          <w:sz w:val="18"/>
          <w:szCs w:val="18"/>
        </w:rPr>
        <w:t xml:space="preserve">employees to senior leaders, we believe there’s always room to learn. We offer opportunities to help build world-class skills in addition to hands-on experience in the global, fast-changing business world. From on-the-job learning experiences to formal development programs at Deloitte University, our professionals have a variety of opportunities to continue to grow throughout their career. </w:t>
      </w:r>
      <w:hyperlink r:id="rId8">
        <w:r>
          <w:rPr>
            <w:rFonts w:ascii="Verdana" w:eastAsia="Verdana" w:hAnsi="Verdana" w:cs="Verdana"/>
            <w:color w:val="045FC1"/>
            <w:sz w:val="18"/>
            <w:szCs w:val="18"/>
            <w:u w:val="single"/>
          </w:rPr>
          <w:t>Explore Deloitte University, The Leadership Centre.</w:t>
        </w:r>
      </w:hyperlink>
    </w:p>
    <w:p w14:paraId="2AE00E46" w14:textId="77777777" w:rsidR="00810B4F" w:rsidRDefault="00810B4F">
      <w:pPr>
        <w:widowControl w:val="0"/>
        <w:pBdr>
          <w:top w:val="nil"/>
          <w:left w:val="nil"/>
          <w:bottom w:val="nil"/>
          <w:right w:val="nil"/>
          <w:between w:val="nil"/>
        </w:pBdr>
        <w:spacing w:before="4"/>
        <w:jc w:val="left"/>
        <w:rPr>
          <w:rFonts w:ascii="Verdana" w:eastAsia="Verdana" w:hAnsi="Verdana" w:cs="Verdana"/>
          <w:color w:val="000000"/>
          <w:sz w:val="17"/>
          <w:szCs w:val="17"/>
        </w:rPr>
      </w:pPr>
    </w:p>
    <w:p w14:paraId="70905D75" w14:textId="77777777" w:rsidR="00810B4F" w:rsidRDefault="008042D8">
      <w:pPr>
        <w:pStyle w:val="Heading1"/>
        <w:spacing w:before="1"/>
        <w:rPr>
          <w:rFonts w:ascii="Verdana" w:eastAsia="Verdana" w:hAnsi="Verdana" w:cs="Verdana"/>
          <w:color w:val="5F8E1B"/>
          <w:sz w:val="18"/>
          <w:szCs w:val="18"/>
        </w:rPr>
      </w:pPr>
      <w:r>
        <w:rPr>
          <w:rFonts w:ascii="Verdana" w:eastAsia="Verdana" w:hAnsi="Verdana" w:cs="Verdana"/>
          <w:color w:val="5F8E1B"/>
          <w:sz w:val="18"/>
          <w:szCs w:val="18"/>
        </w:rPr>
        <w:t>Benefits</w:t>
      </w:r>
    </w:p>
    <w:p w14:paraId="6D5E3D06" w14:textId="77777777" w:rsidR="00810B4F" w:rsidRDefault="008042D8">
      <w:pPr>
        <w:widowControl w:val="0"/>
        <w:pBdr>
          <w:top w:val="nil"/>
          <w:left w:val="nil"/>
          <w:bottom w:val="nil"/>
          <w:right w:val="nil"/>
          <w:between w:val="nil"/>
        </w:pBdr>
        <w:spacing w:before="6"/>
        <w:ind w:left="140" w:right="373"/>
        <w:jc w:val="left"/>
        <w:rPr>
          <w:rFonts w:ascii="Verdana" w:eastAsia="Verdana" w:hAnsi="Verdana" w:cs="Verdana"/>
          <w:color w:val="000000"/>
          <w:sz w:val="18"/>
          <w:szCs w:val="18"/>
        </w:rPr>
      </w:pPr>
      <w:r>
        <w:rPr>
          <w:rFonts w:ascii="Verdana" w:eastAsia="Verdana" w:hAnsi="Verdana" w:cs="Verdana"/>
          <w:color w:val="000000"/>
          <w:sz w:val="18"/>
          <w:szCs w:val="18"/>
        </w:rPr>
        <w:t xml:space="preserve">At Deloitte, we know that great people make a great organization. We value our people and offer employees a broad range of benefits. </w:t>
      </w:r>
      <w:hyperlink r:id="rId9">
        <w:r>
          <w:rPr>
            <w:rFonts w:ascii="Verdana" w:eastAsia="Verdana" w:hAnsi="Verdana" w:cs="Verdana"/>
            <w:color w:val="045FC1"/>
            <w:sz w:val="18"/>
            <w:szCs w:val="18"/>
            <w:u w:val="single"/>
          </w:rPr>
          <w:t>Learn more about what working at Deloitte can mean for</w:t>
        </w:r>
      </w:hyperlink>
      <w:r>
        <w:rPr>
          <w:rFonts w:ascii="Verdana" w:eastAsia="Verdana" w:hAnsi="Verdana" w:cs="Verdana"/>
          <w:color w:val="045FC1"/>
          <w:sz w:val="18"/>
          <w:szCs w:val="18"/>
        </w:rPr>
        <w:t xml:space="preserve"> </w:t>
      </w:r>
      <w:hyperlink r:id="rId10">
        <w:r>
          <w:rPr>
            <w:rFonts w:ascii="Verdana" w:eastAsia="Verdana" w:hAnsi="Verdana" w:cs="Verdana"/>
            <w:color w:val="045FC1"/>
            <w:sz w:val="18"/>
            <w:szCs w:val="18"/>
            <w:u w:val="single"/>
          </w:rPr>
          <w:t>you.</w:t>
        </w:r>
      </w:hyperlink>
    </w:p>
    <w:p w14:paraId="53580232" w14:textId="77777777" w:rsidR="00810B4F" w:rsidRDefault="00810B4F">
      <w:pPr>
        <w:widowControl w:val="0"/>
        <w:pBdr>
          <w:top w:val="nil"/>
          <w:left w:val="nil"/>
          <w:bottom w:val="nil"/>
          <w:right w:val="nil"/>
          <w:between w:val="nil"/>
        </w:pBdr>
        <w:spacing w:before="11"/>
        <w:jc w:val="left"/>
        <w:rPr>
          <w:rFonts w:ascii="Verdana" w:eastAsia="Verdana" w:hAnsi="Verdana" w:cs="Verdana"/>
          <w:color w:val="000000"/>
          <w:sz w:val="17"/>
          <w:szCs w:val="17"/>
        </w:rPr>
      </w:pPr>
    </w:p>
    <w:p w14:paraId="72590B1B" w14:textId="77777777" w:rsidR="00810B4F" w:rsidRDefault="008042D8">
      <w:pPr>
        <w:pStyle w:val="Heading1"/>
        <w:spacing w:before="1"/>
        <w:rPr>
          <w:rFonts w:ascii="Verdana" w:eastAsia="Verdana" w:hAnsi="Verdana" w:cs="Verdana"/>
          <w:color w:val="5F8E1B"/>
          <w:sz w:val="18"/>
          <w:szCs w:val="18"/>
        </w:rPr>
      </w:pPr>
      <w:r>
        <w:rPr>
          <w:rFonts w:ascii="Verdana" w:eastAsia="Verdana" w:hAnsi="Verdana" w:cs="Verdana"/>
          <w:color w:val="5F8E1B"/>
          <w:sz w:val="18"/>
          <w:szCs w:val="18"/>
        </w:rPr>
        <w:t>Our purpose</w:t>
      </w:r>
    </w:p>
    <w:p w14:paraId="5D0C0DEF" w14:textId="77777777" w:rsidR="00810B4F" w:rsidRDefault="008042D8">
      <w:pPr>
        <w:ind w:left="140"/>
        <w:rPr>
          <w:sz w:val="18"/>
          <w:szCs w:val="18"/>
        </w:rPr>
      </w:pPr>
      <w:r>
        <w:rPr>
          <w:sz w:val="18"/>
          <w:szCs w:val="18"/>
        </w:rPr>
        <w:t xml:space="preserve">Deloitte is led by a purpose: </w:t>
      </w:r>
      <w:r>
        <w:rPr>
          <w:i/>
          <w:sz w:val="18"/>
          <w:szCs w:val="18"/>
        </w:rPr>
        <w:t>To make an impact that matters</w:t>
      </w:r>
      <w:r>
        <w:rPr>
          <w:sz w:val="18"/>
          <w:szCs w:val="18"/>
        </w:rPr>
        <w:t>.</w:t>
      </w:r>
    </w:p>
    <w:p w14:paraId="327F5EDE" w14:textId="77777777" w:rsidR="00810B4F" w:rsidRDefault="00810B4F">
      <w:pPr>
        <w:widowControl w:val="0"/>
        <w:pBdr>
          <w:top w:val="nil"/>
          <w:left w:val="nil"/>
          <w:bottom w:val="nil"/>
          <w:right w:val="nil"/>
          <w:between w:val="nil"/>
        </w:pBdr>
        <w:spacing w:before="11"/>
        <w:jc w:val="left"/>
        <w:rPr>
          <w:rFonts w:ascii="Verdana" w:eastAsia="Verdana" w:hAnsi="Verdana" w:cs="Verdana"/>
          <w:color w:val="000000"/>
        </w:rPr>
      </w:pPr>
    </w:p>
    <w:p w14:paraId="5B674AB5" w14:textId="77777777" w:rsidR="00810B4F" w:rsidRDefault="008042D8">
      <w:pPr>
        <w:widowControl w:val="0"/>
        <w:pBdr>
          <w:top w:val="nil"/>
          <w:left w:val="nil"/>
          <w:bottom w:val="nil"/>
          <w:right w:val="nil"/>
          <w:between w:val="nil"/>
        </w:pBdr>
        <w:spacing w:line="276" w:lineRule="auto"/>
        <w:ind w:left="140" w:right="320"/>
        <w:jc w:val="left"/>
        <w:rPr>
          <w:rFonts w:ascii="Verdana" w:eastAsia="Verdana" w:hAnsi="Verdana" w:cs="Verdana"/>
          <w:color w:val="000000"/>
          <w:sz w:val="18"/>
          <w:szCs w:val="18"/>
        </w:rPr>
      </w:pPr>
      <w:r>
        <w:rPr>
          <w:rFonts w:ascii="Verdana" w:eastAsia="Verdana" w:hAnsi="Verdana" w:cs="Verdana"/>
          <w:color w:val="000000"/>
          <w:sz w:val="18"/>
          <w:szCs w:val="18"/>
        </w:rPr>
        <w:t xml:space="preserve">Every day, Deloitte people are making a real impact in the places they live and work. We pride ourselves on doing not only what is good for clients, but also what is good for our people and the communities in which we live and work—always striving to be an organization that is held up as a role model of quality, integrity, and positive change. </w:t>
      </w:r>
      <w:hyperlink r:id="rId11">
        <w:r>
          <w:rPr>
            <w:rFonts w:ascii="Verdana" w:eastAsia="Verdana" w:hAnsi="Verdana" w:cs="Verdana"/>
            <w:color w:val="045FC1"/>
            <w:sz w:val="18"/>
            <w:szCs w:val="18"/>
            <w:u w:val="single"/>
          </w:rPr>
          <w:t>Learn more about Deloitte's impact on the</w:t>
        </w:r>
      </w:hyperlink>
      <w:r>
        <w:rPr>
          <w:rFonts w:ascii="Verdana" w:eastAsia="Verdana" w:hAnsi="Verdana" w:cs="Verdana"/>
          <w:color w:val="045FC1"/>
          <w:sz w:val="18"/>
          <w:szCs w:val="18"/>
        </w:rPr>
        <w:t xml:space="preserve"> </w:t>
      </w:r>
      <w:hyperlink r:id="rId12">
        <w:r>
          <w:rPr>
            <w:rFonts w:ascii="Verdana" w:eastAsia="Verdana" w:hAnsi="Verdana" w:cs="Verdana"/>
            <w:color w:val="045FC1"/>
            <w:sz w:val="18"/>
            <w:szCs w:val="18"/>
            <w:u w:val="single"/>
          </w:rPr>
          <w:t>world</w:t>
        </w:r>
      </w:hyperlink>
    </w:p>
    <w:p w14:paraId="24A9D65A" w14:textId="77777777" w:rsidR="00810B4F" w:rsidRDefault="00810B4F">
      <w:pPr>
        <w:widowControl w:val="0"/>
        <w:pBdr>
          <w:top w:val="nil"/>
          <w:left w:val="nil"/>
          <w:bottom w:val="nil"/>
          <w:right w:val="nil"/>
          <w:between w:val="nil"/>
        </w:pBdr>
        <w:spacing w:before="9"/>
        <w:jc w:val="left"/>
        <w:rPr>
          <w:rFonts w:ascii="Verdana" w:eastAsia="Verdana" w:hAnsi="Verdana" w:cs="Verdana"/>
          <w:color w:val="000000"/>
          <w:sz w:val="9"/>
          <w:szCs w:val="9"/>
        </w:rPr>
      </w:pPr>
    </w:p>
    <w:p w14:paraId="2290F0F2" w14:textId="77777777" w:rsidR="00810B4F" w:rsidRDefault="00810B4F">
      <w:pPr>
        <w:pStyle w:val="Heading1"/>
        <w:spacing w:before="1"/>
        <w:rPr>
          <w:rFonts w:ascii="Verdana" w:eastAsia="Verdana" w:hAnsi="Verdana" w:cs="Verdana"/>
          <w:color w:val="5F8E1B"/>
          <w:sz w:val="18"/>
          <w:szCs w:val="18"/>
        </w:rPr>
      </w:pPr>
    </w:p>
    <w:p w14:paraId="2D783ADF" w14:textId="77777777" w:rsidR="00810B4F" w:rsidRDefault="008042D8">
      <w:pPr>
        <w:pStyle w:val="Heading1"/>
        <w:spacing w:before="1"/>
        <w:rPr>
          <w:rFonts w:ascii="Verdana" w:eastAsia="Verdana" w:hAnsi="Verdana" w:cs="Verdana"/>
          <w:color w:val="5F8E1B"/>
          <w:sz w:val="18"/>
          <w:szCs w:val="18"/>
        </w:rPr>
      </w:pPr>
      <w:r>
        <w:rPr>
          <w:rFonts w:ascii="Verdana" w:eastAsia="Verdana" w:hAnsi="Verdana" w:cs="Verdana"/>
          <w:color w:val="5F8E1B"/>
          <w:sz w:val="18"/>
          <w:szCs w:val="18"/>
        </w:rPr>
        <w:t>Recruiter tips</w:t>
      </w:r>
    </w:p>
    <w:p w14:paraId="7877575F" w14:textId="77777777" w:rsidR="00810B4F" w:rsidRDefault="008042D8">
      <w:pPr>
        <w:widowControl w:val="0"/>
        <w:pBdr>
          <w:top w:val="nil"/>
          <w:left w:val="nil"/>
          <w:bottom w:val="nil"/>
          <w:right w:val="nil"/>
          <w:between w:val="nil"/>
        </w:pBdr>
        <w:ind w:left="140" w:right="726"/>
        <w:jc w:val="left"/>
        <w:rPr>
          <w:rFonts w:ascii="Verdana" w:eastAsia="Verdana" w:hAnsi="Verdana" w:cs="Verdana"/>
          <w:color w:val="000000"/>
          <w:sz w:val="18"/>
          <w:szCs w:val="18"/>
        </w:rPr>
      </w:pPr>
      <w:r>
        <w:rPr>
          <w:rFonts w:ascii="Verdana" w:eastAsia="Verdana" w:hAnsi="Verdana" w:cs="Verdana"/>
          <w:color w:val="000000"/>
          <w:sz w:val="18"/>
          <w:szCs w:val="18"/>
        </w:rPr>
        <w:t xml:space="preserve">We want job seekers exploring opportunities at Deloitte to feel prepared and confident. To help you with your interview, we suggest that you do your research: know some background about the organization and the business area you’re applying to. </w:t>
      </w:r>
      <w:hyperlink r:id="rId13">
        <w:r>
          <w:rPr>
            <w:rFonts w:ascii="Verdana" w:eastAsia="Verdana" w:hAnsi="Verdana" w:cs="Verdana"/>
            <w:color w:val="045FC1"/>
            <w:sz w:val="18"/>
            <w:szCs w:val="18"/>
            <w:u w:val="single"/>
          </w:rPr>
          <w:t>Check out recruiting tips from Deloitte</w:t>
        </w:r>
      </w:hyperlink>
      <w:r>
        <w:rPr>
          <w:rFonts w:ascii="Verdana" w:eastAsia="Verdana" w:hAnsi="Verdana" w:cs="Verdana"/>
          <w:color w:val="045FC1"/>
          <w:sz w:val="18"/>
          <w:szCs w:val="18"/>
        </w:rPr>
        <w:t xml:space="preserve"> </w:t>
      </w:r>
      <w:hyperlink r:id="rId14">
        <w:r>
          <w:rPr>
            <w:rFonts w:ascii="Verdana" w:eastAsia="Verdana" w:hAnsi="Verdana" w:cs="Verdana"/>
            <w:color w:val="045FC1"/>
            <w:sz w:val="18"/>
            <w:szCs w:val="18"/>
            <w:u w:val="single"/>
          </w:rPr>
          <w:t>professionals.</w:t>
        </w:r>
      </w:hyperlink>
    </w:p>
    <w:p w14:paraId="155FD9F7" w14:textId="77777777" w:rsidR="00810B4F" w:rsidRDefault="00810B4F">
      <w:pPr>
        <w:widowControl w:val="0"/>
        <w:pBdr>
          <w:top w:val="nil"/>
          <w:left w:val="nil"/>
          <w:bottom w:val="nil"/>
          <w:right w:val="nil"/>
          <w:between w:val="nil"/>
        </w:pBdr>
        <w:spacing w:before="7"/>
        <w:ind w:left="140" w:right="272"/>
        <w:jc w:val="left"/>
        <w:rPr>
          <w:rFonts w:ascii="Verdana" w:eastAsia="Verdana" w:hAnsi="Verdana" w:cs="Verdana"/>
          <w:color w:val="000000"/>
          <w:sz w:val="18"/>
          <w:szCs w:val="18"/>
        </w:rPr>
      </w:pPr>
    </w:p>
    <w:p w14:paraId="1939955A" w14:textId="77777777" w:rsidR="00810B4F" w:rsidRDefault="00810B4F">
      <w:pPr>
        <w:shd w:val="clear" w:color="auto" w:fill="FFFCF9"/>
        <w:jc w:val="left"/>
        <w:rPr>
          <w:color w:val="262626"/>
          <w:u w:val="single"/>
        </w:rPr>
      </w:pPr>
    </w:p>
    <w:p w14:paraId="51234F26" w14:textId="77777777" w:rsidR="00810B4F" w:rsidRDefault="00810B4F"/>
    <w:p w14:paraId="52A03A26" w14:textId="77777777" w:rsidR="00810B4F" w:rsidRDefault="00810B4F"/>
    <w:p w14:paraId="67E3995F" w14:textId="77777777" w:rsidR="00810B4F" w:rsidRDefault="00810B4F">
      <w:pPr>
        <w:rPr>
          <w:b/>
          <w:color w:val="262626"/>
          <w:sz w:val="20"/>
          <w:szCs w:val="20"/>
          <w:u w:val="single"/>
        </w:rPr>
      </w:pPr>
    </w:p>
    <w:p w14:paraId="217FBBFD" w14:textId="77777777" w:rsidR="00810B4F" w:rsidRDefault="00810B4F"/>
    <w:sectPr w:rsidR="00810B4F">
      <w:headerReference w:type="default" r:id="rId15"/>
      <w:footerReference w:type="default" r:id="rId16"/>
      <w:pgSz w:w="11906" w:h="16838"/>
      <w:pgMar w:top="1418" w:right="849" w:bottom="1135" w:left="1440"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DB48E" w14:textId="77777777" w:rsidR="001A445B" w:rsidRDefault="008042D8">
      <w:r>
        <w:separator/>
      </w:r>
    </w:p>
  </w:endnote>
  <w:endnote w:type="continuationSeparator" w:id="0">
    <w:p w14:paraId="2DE1F6B8" w14:textId="77777777" w:rsidR="001A445B" w:rsidRDefault="00804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0FEAB" w14:textId="77777777" w:rsidR="00810B4F" w:rsidRDefault="00810B4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B90A8" w14:textId="77777777" w:rsidR="001A445B" w:rsidRDefault="008042D8">
      <w:r>
        <w:separator/>
      </w:r>
    </w:p>
  </w:footnote>
  <w:footnote w:type="continuationSeparator" w:id="0">
    <w:p w14:paraId="0AE57160" w14:textId="77777777" w:rsidR="001A445B" w:rsidRDefault="00804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F0CBF" w14:textId="1783A073" w:rsidR="008042D8" w:rsidRDefault="008042D8" w:rsidP="008042D8">
    <w:pPr>
      <w:spacing w:before="18"/>
      <w:ind w:left="20" w:right="-7"/>
      <w:jc w:val="center"/>
      <w:rPr>
        <w:sz w:val="28"/>
      </w:rPr>
    </w:pPr>
    <w:r>
      <w:rPr>
        <w:sz w:val="28"/>
      </w:rPr>
      <w:t>Deloitte India Consulting</w:t>
    </w:r>
  </w:p>
  <w:p w14:paraId="5A2BC129" w14:textId="4015DDCE" w:rsidR="00810B4F" w:rsidRDefault="008042D8">
    <w:pPr>
      <w:pBdr>
        <w:top w:val="nil"/>
        <w:left w:val="nil"/>
        <w:bottom w:val="nil"/>
        <w:right w:val="nil"/>
        <w:between w:val="nil"/>
      </w:pBdr>
      <w:tabs>
        <w:tab w:val="center" w:pos="4513"/>
        <w:tab w:val="right" w:pos="9026"/>
      </w:tabs>
      <w:jc w:val="center"/>
      <w:rPr>
        <w:color w:val="000000"/>
      </w:rPr>
    </w:pPr>
    <w:r>
      <w:rPr>
        <w:sz w:val="28"/>
      </w:rPr>
      <w:t xml:space="preserve">Analytics &amp; Cognitive </w:t>
    </w:r>
    <w:r w:rsidR="00635562">
      <w:rPr>
        <w:sz w:val="28"/>
      </w:rPr>
      <w:t>Analyst</w:t>
    </w:r>
    <w:r>
      <w:rPr>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92085"/>
    <w:multiLevelType w:val="multilevel"/>
    <w:tmpl w:val="7248911C"/>
    <w:lvl w:ilvl="0">
      <w:start w:val="1"/>
      <w:numFmt w:val="bullet"/>
      <w:lvlText w:val="●"/>
      <w:lvlJc w:val="left"/>
      <w:pPr>
        <w:ind w:left="721" w:hanging="360"/>
      </w:pPr>
      <w:rPr>
        <w:rFonts w:ascii="Noto Sans Symbols" w:eastAsia="Noto Sans Symbols" w:hAnsi="Noto Sans Symbols" w:cs="Noto Sans Symbols"/>
        <w:sz w:val="18"/>
        <w:szCs w:val="18"/>
      </w:rPr>
    </w:lvl>
    <w:lvl w:ilvl="1">
      <w:start w:val="1"/>
      <w:numFmt w:val="bullet"/>
      <w:lvlText w:val="●"/>
      <w:lvlJc w:val="left"/>
      <w:pPr>
        <w:ind w:left="860" w:hanging="360"/>
      </w:pPr>
      <w:rPr>
        <w:rFonts w:ascii="Noto Sans Symbols" w:eastAsia="Noto Sans Symbols" w:hAnsi="Noto Sans Symbols" w:cs="Noto Sans Symbols"/>
        <w:sz w:val="18"/>
        <w:szCs w:val="18"/>
      </w:rPr>
    </w:lvl>
    <w:lvl w:ilvl="2">
      <w:start w:val="1"/>
      <w:numFmt w:val="bullet"/>
      <w:lvlText w:val="•"/>
      <w:lvlJc w:val="left"/>
      <w:pPr>
        <w:ind w:left="1803" w:hanging="360"/>
      </w:pPr>
    </w:lvl>
    <w:lvl w:ilvl="3">
      <w:start w:val="1"/>
      <w:numFmt w:val="bullet"/>
      <w:lvlText w:val="•"/>
      <w:lvlJc w:val="left"/>
      <w:pPr>
        <w:ind w:left="2746" w:hanging="360"/>
      </w:pPr>
    </w:lvl>
    <w:lvl w:ilvl="4">
      <w:start w:val="1"/>
      <w:numFmt w:val="bullet"/>
      <w:lvlText w:val="•"/>
      <w:lvlJc w:val="left"/>
      <w:pPr>
        <w:ind w:left="3690" w:hanging="360"/>
      </w:pPr>
    </w:lvl>
    <w:lvl w:ilvl="5">
      <w:start w:val="1"/>
      <w:numFmt w:val="bullet"/>
      <w:lvlText w:val="•"/>
      <w:lvlJc w:val="left"/>
      <w:pPr>
        <w:ind w:left="4633" w:hanging="360"/>
      </w:pPr>
    </w:lvl>
    <w:lvl w:ilvl="6">
      <w:start w:val="1"/>
      <w:numFmt w:val="bullet"/>
      <w:lvlText w:val="•"/>
      <w:lvlJc w:val="left"/>
      <w:pPr>
        <w:ind w:left="5576" w:hanging="360"/>
      </w:pPr>
    </w:lvl>
    <w:lvl w:ilvl="7">
      <w:start w:val="1"/>
      <w:numFmt w:val="bullet"/>
      <w:lvlText w:val="•"/>
      <w:lvlJc w:val="left"/>
      <w:pPr>
        <w:ind w:left="6520" w:hanging="360"/>
      </w:pPr>
    </w:lvl>
    <w:lvl w:ilvl="8">
      <w:start w:val="1"/>
      <w:numFmt w:val="bullet"/>
      <w:lvlText w:val="•"/>
      <w:lvlJc w:val="left"/>
      <w:pPr>
        <w:ind w:left="7463"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B4F"/>
    <w:rsid w:val="001A445B"/>
    <w:rsid w:val="00635562"/>
    <w:rsid w:val="008042D8"/>
    <w:rsid w:val="0081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101397"/>
  <w15:docId w15:val="{029C5BA7-0134-4AD0-9CAC-2994DB8C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8042D8"/>
    <w:pPr>
      <w:tabs>
        <w:tab w:val="center" w:pos="4680"/>
        <w:tab w:val="right" w:pos="9360"/>
      </w:tabs>
    </w:pPr>
  </w:style>
  <w:style w:type="character" w:customStyle="1" w:styleId="HeaderChar">
    <w:name w:val="Header Char"/>
    <w:basedOn w:val="DefaultParagraphFont"/>
    <w:link w:val="Header"/>
    <w:uiPriority w:val="99"/>
    <w:rsid w:val="008042D8"/>
  </w:style>
  <w:style w:type="paragraph" w:styleId="Footer">
    <w:name w:val="footer"/>
    <w:basedOn w:val="Normal"/>
    <w:link w:val="FooterChar"/>
    <w:uiPriority w:val="99"/>
    <w:unhideWhenUsed/>
    <w:rsid w:val="008042D8"/>
    <w:pPr>
      <w:tabs>
        <w:tab w:val="center" w:pos="4680"/>
        <w:tab w:val="right" w:pos="9360"/>
      </w:tabs>
    </w:pPr>
  </w:style>
  <w:style w:type="character" w:customStyle="1" w:styleId="FooterChar">
    <w:name w:val="Footer Char"/>
    <w:basedOn w:val="DefaultParagraphFont"/>
    <w:link w:val="Footer"/>
    <w:uiPriority w:val="99"/>
    <w:rsid w:val="00804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eloitte.zoomforth.com/du" TargetMode="External"/><Relationship Id="rId13" Type="http://schemas.openxmlformats.org/officeDocument/2006/relationships/hyperlink" Target="https://www2.deloitte.com/us/en/pages/careers/topics/recruiting-tip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2.deloitte.com/global/en/pages/technology/solutions/technology-services.html" TargetMode="External"/><Relationship Id="rId12" Type="http://schemas.openxmlformats.org/officeDocument/2006/relationships/hyperlink" Target="https://www2.deloitte.com/global/en/pages/about-deloitte/articles/impact-that-matter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2.deloitte.com/global/en/pages/about-deloitte/articles/impact-that-matters.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2.deloitte.com/global/en/pages/careers/articles/benefits.html" TargetMode="External"/><Relationship Id="rId4" Type="http://schemas.openxmlformats.org/officeDocument/2006/relationships/webSettings" Target="webSettings.xml"/><Relationship Id="rId9" Type="http://schemas.openxmlformats.org/officeDocument/2006/relationships/hyperlink" Target="https://www2.deloitte.com/global/en/pages/careers/articles/benefits.html" TargetMode="External"/><Relationship Id="rId14" Type="http://schemas.openxmlformats.org/officeDocument/2006/relationships/hyperlink" Target="https://www2.deloitte.com/us/en/pages/careers/topics/recruiting-ti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856</Words>
  <Characters>4881</Characters>
  <Application>Microsoft Office Word</Application>
  <DocSecurity>0</DocSecurity>
  <Lines>40</Lines>
  <Paragraphs>11</Paragraphs>
  <ScaleCrop>false</ScaleCrop>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 Swani - Ext</dc:creator>
  <cp:lastModifiedBy>Sali, Swani - Ext</cp:lastModifiedBy>
  <cp:revision>2</cp:revision>
  <dcterms:created xsi:type="dcterms:W3CDTF">2021-10-19T13:13:00Z</dcterms:created>
  <dcterms:modified xsi:type="dcterms:W3CDTF">2021-10-19T13:13:00Z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2021-10-18T17:11:21Z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351cefdf-a4ab-4335-9c5e-bf5fdda197cc</vt:lpwstr>
  </property>
  <property fmtid="{D5CDD505-2E9C-101B-9397-08002B2CF9AE}" pid="8" name="MSIP_Label_ea60d57e-af5b-4752-ac57-3e4f28ca11dc_ContentBits">
    <vt:lpwstr>0</vt:lpwstr>
  </property>
</Properties>
</file>