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0DAC0" w14:textId="77777777" w:rsidR="009C5F6B" w:rsidRPr="006E2FCC" w:rsidRDefault="009C5F6B"/>
    <w:tbl>
      <w:tblPr>
        <w:tblStyle w:val="TableGrid"/>
        <w:tblW w:w="101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00"/>
        <w:gridCol w:w="1008"/>
        <w:gridCol w:w="1692"/>
        <w:gridCol w:w="2700"/>
        <w:gridCol w:w="2085"/>
      </w:tblGrid>
      <w:tr w:rsidR="00FB0A96" w:rsidRPr="006E2FCC" w14:paraId="2820DAC2" w14:textId="77777777" w:rsidTr="00FB0A96">
        <w:trPr>
          <w:trHeight w:val="432"/>
        </w:trPr>
        <w:tc>
          <w:tcPr>
            <w:tcW w:w="10185" w:type="dxa"/>
            <w:gridSpan w:val="5"/>
            <w:shd w:val="clear" w:color="auto" w:fill="4D4F53"/>
            <w:vAlign w:val="center"/>
            <w:hideMark/>
          </w:tcPr>
          <w:p w14:paraId="2820DAC1" w14:textId="77777777" w:rsidR="00FB0A96" w:rsidRPr="006E2FCC" w:rsidRDefault="00FB0A96" w:rsidP="002B0555">
            <w:pPr>
              <w:jc w:val="center"/>
              <w:rPr>
                <w:rFonts w:eastAsia="Times New Roman" w:cs="Arial"/>
                <w:b/>
                <w:bCs/>
                <w:color w:val="FFFFFF" w:themeColor="background1"/>
              </w:rPr>
            </w:pPr>
            <w:r w:rsidRPr="006E2FCC">
              <w:rPr>
                <w:rFonts w:eastAsia="Times New Roman" w:cs="Arial"/>
                <w:b/>
                <w:bCs/>
                <w:color w:val="FFFFFF" w:themeColor="background1"/>
              </w:rPr>
              <w:t>Basic Information</w:t>
            </w:r>
          </w:p>
        </w:tc>
      </w:tr>
      <w:tr w:rsidR="00FB0A96" w:rsidRPr="006E2FCC" w14:paraId="2820DAC7" w14:textId="77777777" w:rsidTr="00FB0A96">
        <w:trPr>
          <w:trHeight w:val="499"/>
        </w:trPr>
        <w:tc>
          <w:tcPr>
            <w:tcW w:w="2700" w:type="dxa"/>
            <w:shd w:val="clear" w:color="auto" w:fill="C9CAC8"/>
            <w:vAlign w:val="center"/>
            <w:hideMark/>
          </w:tcPr>
          <w:p w14:paraId="2820DAC3" w14:textId="77777777" w:rsidR="00FB0A96" w:rsidRPr="006E2FCC" w:rsidRDefault="00FB0A96" w:rsidP="002B0555">
            <w:pPr>
              <w:rPr>
                <w:rFonts w:eastAsia="Times New Roman" w:cs="Arial"/>
                <w:b/>
                <w:bCs/>
              </w:rPr>
            </w:pPr>
            <w:r w:rsidRPr="006E2FCC">
              <w:rPr>
                <w:rFonts w:eastAsia="Times New Roman" w:cs="Arial"/>
                <w:b/>
                <w:bCs/>
              </w:rPr>
              <w:t>Position Title</w:t>
            </w:r>
          </w:p>
        </w:tc>
        <w:tc>
          <w:tcPr>
            <w:tcW w:w="2700" w:type="dxa"/>
            <w:gridSpan w:val="2"/>
            <w:noWrap/>
            <w:vAlign w:val="center"/>
          </w:tcPr>
          <w:p w14:paraId="2820DAC4" w14:textId="77777777" w:rsidR="00FB0A96" w:rsidRPr="006E2FCC" w:rsidRDefault="00785A04" w:rsidP="00B53AD5">
            <w:pPr>
              <w:pStyle w:val="Standard"/>
              <w:rPr>
                <w:rFonts w:asciiTheme="minorHAnsi" w:eastAsia="Times New Roman" w:hAnsiTheme="minorHAnsi" w:cs="Arial"/>
                <w:sz w:val="22"/>
                <w:szCs w:val="22"/>
              </w:rPr>
            </w:pPr>
            <w:r>
              <w:rPr>
                <w:rFonts w:asciiTheme="minorHAnsi" w:eastAsia="Times New Roman" w:hAnsiTheme="minorHAnsi" w:cs="Arial"/>
                <w:sz w:val="22"/>
                <w:szCs w:val="22"/>
              </w:rPr>
              <w:t>Junior Associate</w:t>
            </w:r>
          </w:p>
        </w:tc>
        <w:tc>
          <w:tcPr>
            <w:tcW w:w="2700" w:type="dxa"/>
            <w:shd w:val="clear" w:color="auto" w:fill="C9CAC8"/>
            <w:vAlign w:val="center"/>
            <w:hideMark/>
          </w:tcPr>
          <w:p w14:paraId="2820DAC5" w14:textId="77777777" w:rsidR="00FB0A96" w:rsidRPr="006E2FCC" w:rsidRDefault="00FB0A96" w:rsidP="002B0555">
            <w:pPr>
              <w:rPr>
                <w:rFonts w:eastAsia="Times New Roman" w:cs="Arial"/>
                <w:b/>
                <w:bCs/>
              </w:rPr>
            </w:pPr>
            <w:r w:rsidRPr="006E2FCC">
              <w:rPr>
                <w:rFonts w:eastAsia="Times New Roman" w:cs="Arial"/>
                <w:b/>
                <w:bCs/>
              </w:rPr>
              <w:t>Grade/Level</w:t>
            </w:r>
          </w:p>
        </w:tc>
        <w:tc>
          <w:tcPr>
            <w:tcW w:w="2085" w:type="dxa"/>
            <w:vAlign w:val="center"/>
          </w:tcPr>
          <w:p w14:paraId="2820DAC6" w14:textId="77777777" w:rsidR="00FB0A96" w:rsidRPr="006E2FCC" w:rsidRDefault="00FB0A96" w:rsidP="002B0555">
            <w:pPr>
              <w:rPr>
                <w:rFonts w:eastAsia="Times New Roman" w:cs="Arial"/>
              </w:rPr>
            </w:pPr>
          </w:p>
        </w:tc>
      </w:tr>
      <w:tr w:rsidR="00FB0A96" w:rsidRPr="006E2FCC" w14:paraId="2820DACC" w14:textId="77777777" w:rsidTr="00FB0A96">
        <w:trPr>
          <w:trHeight w:val="499"/>
        </w:trPr>
        <w:tc>
          <w:tcPr>
            <w:tcW w:w="2700" w:type="dxa"/>
            <w:shd w:val="clear" w:color="auto" w:fill="C9CAC8"/>
            <w:vAlign w:val="center"/>
          </w:tcPr>
          <w:p w14:paraId="2820DAC8" w14:textId="77777777" w:rsidR="00FB0A96" w:rsidRPr="006E2FCC" w:rsidRDefault="00FB0A96" w:rsidP="002B0555">
            <w:pPr>
              <w:rPr>
                <w:rFonts w:eastAsia="Times New Roman" w:cs="Arial"/>
                <w:b/>
                <w:bCs/>
              </w:rPr>
            </w:pPr>
            <w:r w:rsidRPr="006E2FCC">
              <w:rPr>
                <w:rFonts w:eastAsia="Times New Roman" w:cs="Arial"/>
                <w:b/>
                <w:bCs/>
              </w:rPr>
              <w:t>Department</w:t>
            </w:r>
          </w:p>
        </w:tc>
        <w:tc>
          <w:tcPr>
            <w:tcW w:w="2700" w:type="dxa"/>
            <w:gridSpan w:val="2"/>
            <w:noWrap/>
            <w:vAlign w:val="center"/>
          </w:tcPr>
          <w:p w14:paraId="2820DAC9" w14:textId="77777777" w:rsidR="00FB0A96" w:rsidRPr="006E2FCC" w:rsidRDefault="00785A04" w:rsidP="009A54B5">
            <w:pPr>
              <w:pStyle w:val="Standard"/>
              <w:rPr>
                <w:rFonts w:asciiTheme="minorHAnsi" w:eastAsia="Times New Roman" w:hAnsiTheme="minorHAnsi" w:cs="Arial"/>
                <w:sz w:val="22"/>
                <w:szCs w:val="22"/>
              </w:rPr>
            </w:pPr>
            <w:r>
              <w:rPr>
                <w:rFonts w:asciiTheme="minorHAnsi" w:eastAsia="Times New Roman" w:hAnsiTheme="minorHAnsi" w:cs="Arial"/>
                <w:sz w:val="22"/>
                <w:szCs w:val="22"/>
              </w:rPr>
              <w:t>Options Trading</w:t>
            </w:r>
          </w:p>
        </w:tc>
        <w:tc>
          <w:tcPr>
            <w:tcW w:w="2700" w:type="dxa"/>
            <w:shd w:val="clear" w:color="auto" w:fill="C9CAC8"/>
            <w:vAlign w:val="center"/>
          </w:tcPr>
          <w:p w14:paraId="2820DACA" w14:textId="77777777" w:rsidR="00FB0A96" w:rsidRPr="006E2FCC" w:rsidRDefault="00FB0A96" w:rsidP="002B0555">
            <w:pPr>
              <w:rPr>
                <w:rFonts w:eastAsia="Times New Roman" w:cs="Arial"/>
                <w:b/>
                <w:bCs/>
              </w:rPr>
            </w:pPr>
            <w:r w:rsidRPr="006E2FCC">
              <w:rPr>
                <w:rFonts w:eastAsia="Times New Roman" w:cs="Arial"/>
                <w:b/>
                <w:bCs/>
              </w:rPr>
              <w:t>Location</w:t>
            </w:r>
          </w:p>
        </w:tc>
        <w:tc>
          <w:tcPr>
            <w:tcW w:w="2085" w:type="dxa"/>
            <w:vAlign w:val="center"/>
          </w:tcPr>
          <w:p w14:paraId="2820DACB" w14:textId="77777777" w:rsidR="00FB0A96" w:rsidRPr="006E2FCC" w:rsidRDefault="00785A04" w:rsidP="002B0555">
            <w:pPr>
              <w:rPr>
                <w:rFonts w:eastAsia="Times New Roman" w:cs="Arial"/>
              </w:rPr>
            </w:pPr>
            <w:r>
              <w:rPr>
                <w:rFonts w:eastAsia="Times New Roman" w:cs="Arial"/>
              </w:rPr>
              <w:t>Mumbai</w:t>
            </w:r>
          </w:p>
        </w:tc>
      </w:tr>
      <w:tr w:rsidR="00FB0A96" w:rsidRPr="006E2FCC" w14:paraId="2820DAD1" w14:textId="77777777" w:rsidTr="00FB0A96">
        <w:trPr>
          <w:trHeight w:val="499"/>
        </w:trPr>
        <w:tc>
          <w:tcPr>
            <w:tcW w:w="2700" w:type="dxa"/>
            <w:shd w:val="clear" w:color="auto" w:fill="C9CAC8"/>
            <w:vAlign w:val="center"/>
          </w:tcPr>
          <w:p w14:paraId="2820DACD" w14:textId="77777777" w:rsidR="00FB0A96" w:rsidRPr="006E2FCC" w:rsidRDefault="00FB0A96" w:rsidP="002B0555">
            <w:pPr>
              <w:rPr>
                <w:rFonts w:eastAsia="Times New Roman" w:cs="Arial"/>
                <w:b/>
                <w:bCs/>
              </w:rPr>
            </w:pPr>
            <w:r w:rsidRPr="006E2FCC">
              <w:rPr>
                <w:rFonts w:eastAsia="Times New Roman" w:cs="Arial"/>
                <w:b/>
                <w:bCs/>
              </w:rPr>
              <w:t>Business</w:t>
            </w:r>
          </w:p>
        </w:tc>
        <w:tc>
          <w:tcPr>
            <w:tcW w:w="2700" w:type="dxa"/>
            <w:gridSpan w:val="2"/>
            <w:noWrap/>
            <w:vAlign w:val="center"/>
          </w:tcPr>
          <w:p w14:paraId="2820DACE" w14:textId="77777777" w:rsidR="00FB0A96" w:rsidRPr="006E2FCC" w:rsidRDefault="00B87AF4" w:rsidP="0022361D">
            <w:pPr>
              <w:pStyle w:val="Standard"/>
              <w:rPr>
                <w:rFonts w:asciiTheme="minorHAnsi" w:eastAsia="Times New Roman" w:hAnsiTheme="minorHAnsi" w:cs="Arial"/>
                <w:sz w:val="22"/>
                <w:szCs w:val="22"/>
              </w:rPr>
            </w:pPr>
            <w:r w:rsidRPr="006E2FCC">
              <w:rPr>
                <w:rFonts w:asciiTheme="minorHAnsi" w:eastAsia="Times New Roman" w:hAnsiTheme="minorHAnsi" w:cs="Arial"/>
                <w:sz w:val="22"/>
                <w:szCs w:val="22"/>
              </w:rPr>
              <w:t xml:space="preserve">Global </w:t>
            </w:r>
            <w:r w:rsidR="009A54B5" w:rsidRPr="006E2FCC">
              <w:rPr>
                <w:rFonts w:asciiTheme="minorHAnsi" w:eastAsia="Times New Roman" w:hAnsiTheme="minorHAnsi" w:cs="Arial"/>
                <w:sz w:val="22"/>
                <w:szCs w:val="22"/>
              </w:rPr>
              <w:t>Markets</w:t>
            </w:r>
          </w:p>
        </w:tc>
        <w:tc>
          <w:tcPr>
            <w:tcW w:w="2700" w:type="dxa"/>
            <w:shd w:val="clear" w:color="auto" w:fill="C9CAC8"/>
            <w:vAlign w:val="center"/>
          </w:tcPr>
          <w:p w14:paraId="2820DACF" w14:textId="77777777" w:rsidR="00FB0A96" w:rsidRPr="006E2FCC" w:rsidRDefault="00FB0A96" w:rsidP="002B0555">
            <w:pPr>
              <w:rPr>
                <w:rFonts w:eastAsia="Times New Roman" w:cs="Arial"/>
                <w:b/>
                <w:bCs/>
              </w:rPr>
            </w:pPr>
            <w:r w:rsidRPr="006E2FCC">
              <w:rPr>
                <w:rFonts w:eastAsia="Times New Roman" w:cs="Arial"/>
                <w:b/>
                <w:bCs/>
              </w:rPr>
              <w:t>Number of Units in Business</w:t>
            </w:r>
          </w:p>
        </w:tc>
        <w:tc>
          <w:tcPr>
            <w:tcW w:w="2085" w:type="dxa"/>
            <w:vAlign w:val="center"/>
          </w:tcPr>
          <w:p w14:paraId="2820DAD0" w14:textId="77777777" w:rsidR="00FB0A96" w:rsidRPr="006E2FCC" w:rsidRDefault="00B53AD5" w:rsidP="002B0555">
            <w:pPr>
              <w:rPr>
                <w:rFonts w:eastAsia="Times New Roman" w:cs="Arial"/>
              </w:rPr>
            </w:pPr>
            <w:r w:rsidRPr="006E2FCC">
              <w:rPr>
                <w:rFonts w:eastAsia="Times New Roman" w:cs="Arial"/>
              </w:rPr>
              <w:t>N/A</w:t>
            </w:r>
          </w:p>
        </w:tc>
      </w:tr>
      <w:tr w:rsidR="00FB0A96" w:rsidRPr="006E2FCC" w14:paraId="2820DAD6" w14:textId="77777777" w:rsidTr="00FB0A96">
        <w:trPr>
          <w:trHeight w:val="499"/>
        </w:trPr>
        <w:tc>
          <w:tcPr>
            <w:tcW w:w="2700" w:type="dxa"/>
            <w:shd w:val="clear" w:color="auto" w:fill="C9CAC8"/>
            <w:vAlign w:val="center"/>
            <w:hideMark/>
          </w:tcPr>
          <w:p w14:paraId="2820DAD2" w14:textId="77777777" w:rsidR="00FB0A96" w:rsidRPr="006E2FCC" w:rsidRDefault="00FB0A96" w:rsidP="002B0555">
            <w:pPr>
              <w:rPr>
                <w:rFonts w:eastAsia="Times New Roman" w:cs="Arial"/>
                <w:b/>
                <w:bCs/>
              </w:rPr>
            </w:pPr>
            <w:r w:rsidRPr="006E2FCC">
              <w:rPr>
                <w:rFonts w:eastAsia="Times New Roman" w:cs="Arial"/>
                <w:b/>
                <w:bCs/>
              </w:rPr>
              <w:t>Total Headcount (Direct) Supervised</w:t>
            </w:r>
          </w:p>
        </w:tc>
        <w:tc>
          <w:tcPr>
            <w:tcW w:w="2700" w:type="dxa"/>
            <w:gridSpan w:val="2"/>
            <w:noWrap/>
            <w:vAlign w:val="center"/>
          </w:tcPr>
          <w:p w14:paraId="2820DAD3" w14:textId="77777777" w:rsidR="00FB0A96" w:rsidRPr="006E2FCC" w:rsidRDefault="00785A04" w:rsidP="002B0555">
            <w:pPr>
              <w:rPr>
                <w:rFonts w:eastAsia="Times New Roman" w:cs="Arial"/>
              </w:rPr>
            </w:pPr>
            <w:r>
              <w:rPr>
                <w:rFonts w:eastAsia="Times New Roman" w:cs="Arial"/>
              </w:rPr>
              <w:t>N/A</w:t>
            </w:r>
          </w:p>
        </w:tc>
        <w:tc>
          <w:tcPr>
            <w:tcW w:w="2700" w:type="dxa"/>
            <w:shd w:val="clear" w:color="auto" w:fill="C9CAC8"/>
            <w:vAlign w:val="center"/>
            <w:hideMark/>
          </w:tcPr>
          <w:p w14:paraId="2820DAD4" w14:textId="77777777" w:rsidR="00FB0A96" w:rsidRPr="006E2FCC" w:rsidRDefault="00FB0A96" w:rsidP="00725BF8">
            <w:pPr>
              <w:rPr>
                <w:rFonts w:eastAsia="Times New Roman" w:cs="Arial"/>
                <w:b/>
                <w:bCs/>
              </w:rPr>
            </w:pPr>
            <w:r w:rsidRPr="006E2FCC">
              <w:rPr>
                <w:rFonts w:eastAsia="Times New Roman" w:cs="Arial"/>
                <w:b/>
                <w:bCs/>
              </w:rPr>
              <w:t xml:space="preserve">Total Headcount (Direct / Indirect) Supervised </w:t>
            </w:r>
          </w:p>
        </w:tc>
        <w:tc>
          <w:tcPr>
            <w:tcW w:w="2085" w:type="dxa"/>
            <w:vAlign w:val="center"/>
          </w:tcPr>
          <w:p w14:paraId="2820DAD5" w14:textId="77777777" w:rsidR="00FB0A96" w:rsidRPr="006E2FCC" w:rsidRDefault="00785A04" w:rsidP="002B0555">
            <w:pPr>
              <w:rPr>
                <w:rFonts w:eastAsia="Times New Roman" w:cs="Arial"/>
              </w:rPr>
            </w:pPr>
            <w:r>
              <w:rPr>
                <w:rFonts w:eastAsia="Times New Roman" w:cs="Arial"/>
              </w:rPr>
              <w:t>N/A</w:t>
            </w:r>
          </w:p>
        </w:tc>
      </w:tr>
      <w:tr w:rsidR="00FB0A96" w:rsidRPr="006E2FCC" w14:paraId="2820DAD8" w14:textId="77777777" w:rsidTr="00FB0A96">
        <w:trPr>
          <w:trHeight w:val="499"/>
        </w:trPr>
        <w:tc>
          <w:tcPr>
            <w:tcW w:w="10185" w:type="dxa"/>
            <w:gridSpan w:val="5"/>
            <w:shd w:val="clear" w:color="auto" w:fill="4D4F53"/>
            <w:noWrap/>
            <w:vAlign w:val="center"/>
            <w:hideMark/>
          </w:tcPr>
          <w:p w14:paraId="2820DAD7" w14:textId="77777777" w:rsidR="00FB0A96" w:rsidRPr="006E2FCC" w:rsidRDefault="00FB0A96" w:rsidP="002B0555">
            <w:pPr>
              <w:jc w:val="center"/>
              <w:rPr>
                <w:rFonts w:eastAsia="Times New Roman" w:cs="Arial"/>
                <w:b/>
                <w:bCs/>
                <w:color w:val="FFFFFF" w:themeColor="background1"/>
              </w:rPr>
            </w:pPr>
            <w:r w:rsidRPr="006E2FCC">
              <w:rPr>
                <w:rFonts w:eastAsia="Times New Roman" w:cs="Arial"/>
                <w:b/>
                <w:bCs/>
                <w:color w:val="FFFFFF" w:themeColor="background1"/>
              </w:rPr>
              <w:t>Organizational Relationships</w:t>
            </w:r>
          </w:p>
        </w:tc>
      </w:tr>
      <w:tr w:rsidR="00FB0A96" w:rsidRPr="006E2FCC" w14:paraId="2820DADB" w14:textId="77777777" w:rsidTr="00FB0A96">
        <w:trPr>
          <w:trHeight w:val="499"/>
        </w:trPr>
        <w:tc>
          <w:tcPr>
            <w:tcW w:w="2700" w:type="dxa"/>
            <w:shd w:val="clear" w:color="auto" w:fill="C9CAC8"/>
            <w:vAlign w:val="center"/>
            <w:hideMark/>
          </w:tcPr>
          <w:p w14:paraId="2820DAD9" w14:textId="77777777" w:rsidR="00FB0A96" w:rsidRPr="006E2FCC" w:rsidRDefault="00FB0A96" w:rsidP="002B0555">
            <w:pPr>
              <w:rPr>
                <w:rFonts w:eastAsia="Times New Roman" w:cs="Arial"/>
                <w:b/>
                <w:bCs/>
              </w:rPr>
            </w:pPr>
            <w:r w:rsidRPr="006E2FCC">
              <w:rPr>
                <w:rFonts w:eastAsia="Times New Roman" w:cs="Arial"/>
                <w:b/>
                <w:bCs/>
              </w:rPr>
              <w:t>Position reporting to</w:t>
            </w:r>
          </w:p>
        </w:tc>
        <w:tc>
          <w:tcPr>
            <w:tcW w:w="7485" w:type="dxa"/>
            <w:gridSpan w:val="4"/>
            <w:noWrap/>
            <w:vAlign w:val="center"/>
          </w:tcPr>
          <w:p w14:paraId="2820DADA" w14:textId="77777777" w:rsidR="00FB0A96" w:rsidRPr="006E2FCC" w:rsidRDefault="00200D52" w:rsidP="005F009A">
            <w:pPr>
              <w:pStyle w:val="Standard"/>
              <w:rPr>
                <w:rFonts w:asciiTheme="minorHAnsi" w:eastAsia="Times New Roman" w:hAnsiTheme="minorHAnsi" w:cs="Arial"/>
                <w:sz w:val="22"/>
                <w:szCs w:val="22"/>
              </w:rPr>
            </w:pPr>
            <w:r>
              <w:rPr>
                <w:rFonts w:asciiTheme="minorHAnsi" w:eastAsia="Times New Roman" w:hAnsiTheme="minorHAnsi" w:cs="Arial"/>
                <w:sz w:val="22"/>
                <w:szCs w:val="22"/>
              </w:rPr>
              <w:t>Chief Manager</w:t>
            </w:r>
          </w:p>
        </w:tc>
      </w:tr>
      <w:tr w:rsidR="00FB0A96" w:rsidRPr="006E2FCC" w14:paraId="2820DADE" w14:textId="77777777" w:rsidTr="00FB0A96">
        <w:trPr>
          <w:trHeight w:val="499"/>
        </w:trPr>
        <w:tc>
          <w:tcPr>
            <w:tcW w:w="2700" w:type="dxa"/>
            <w:shd w:val="clear" w:color="auto" w:fill="C9CAC8"/>
            <w:vAlign w:val="center"/>
            <w:hideMark/>
          </w:tcPr>
          <w:p w14:paraId="2820DADC" w14:textId="77777777" w:rsidR="00FB0A96" w:rsidRPr="006E2FCC" w:rsidRDefault="00FB0A96" w:rsidP="002B0555">
            <w:pPr>
              <w:rPr>
                <w:rFonts w:eastAsia="Times New Roman" w:cs="Arial"/>
                <w:b/>
                <w:bCs/>
              </w:rPr>
            </w:pPr>
            <w:r w:rsidRPr="006E2FCC">
              <w:rPr>
                <w:rFonts w:eastAsia="Times New Roman" w:cs="Arial"/>
                <w:b/>
                <w:bCs/>
              </w:rPr>
              <w:t>No. of Direct Reports</w:t>
            </w:r>
            <w:r w:rsidR="00B87AF4" w:rsidRPr="006E2FCC">
              <w:rPr>
                <w:rFonts w:eastAsia="Times New Roman" w:cs="Arial"/>
                <w:b/>
                <w:bCs/>
              </w:rPr>
              <w:t xml:space="preserve"> of the Reporting Manager</w:t>
            </w:r>
          </w:p>
        </w:tc>
        <w:tc>
          <w:tcPr>
            <w:tcW w:w="7485" w:type="dxa"/>
            <w:gridSpan w:val="4"/>
            <w:noWrap/>
            <w:vAlign w:val="center"/>
          </w:tcPr>
          <w:p w14:paraId="2820DADD" w14:textId="0EFBE9C5" w:rsidR="00FB0A96" w:rsidRPr="006E2FCC" w:rsidRDefault="004D6CFE" w:rsidP="0022361D">
            <w:pPr>
              <w:pStyle w:val="Standard"/>
              <w:rPr>
                <w:rFonts w:asciiTheme="minorHAnsi" w:eastAsia="Times New Roman" w:hAnsiTheme="minorHAnsi" w:cs="Arial"/>
                <w:sz w:val="22"/>
                <w:szCs w:val="22"/>
              </w:rPr>
            </w:pPr>
            <w:r>
              <w:rPr>
                <w:rFonts w:asciiTheme="minorHAnsi" w:eastAsia="Times New Roman" w:hAnsiTheme="minorHAnsi" w:cs="Arial"/>
                <w:sz w:val="22"/>
                <w:szCs w:val="22"/>
              </w:rPr>
              <w:t>5</w:t>
            </w:r>
          </w:p>
        </w:tc>
      </w:tr>
      <w:tr w:rsidR="00E966CC" w:rsidRPr="006E2FCC" w14:paraId="2820DAE0" w14:textId="77777777" w:rsidTr="00FB0A96">
        <w:trPr>
          <w:trHeight w:val="499"/>
        </w:trPr>
        <w:tc>
          <w:tcPr>
            <w:tcW w:w="10185" w:type="dxa"/>
            <w:gridSpan w:val="5"/>
            <w:shd w:val="clear" w:color="auto" w:fill="4D4F53"/>
            <w:noWrap/>
            <w:vAlign w:val="center"/>
            <w:hideMark/>
          </w:tcPr>
          <w:p w14:paraId="2820DADF" w14:textId="77777777" w:rsidR="00E966CC" w:rsidRPr="006E2FCC" w:rsidRDefault="00E966CC" w:rsidP="002B0555">
            <w:pPr>
              <w:jc w:val="center"/>
              <w:rPr>
                <w:rFonts w:eastAsia="Times New Roman" w:cs="Arial"/>
                <w:b/>
                <w:bCs/>
                <w:color w:val="FFFFFF" w:themeColor="background1"/>
              </w:rPr>
            </w:pPr>
            <w:r w:rsidRPr="006E2FCC">
              <w:rPr>
                <w:rFonts w:eastAsia="Times New Roman" w:cs="Arial"/>
                <w:b/>
                <w:bCs/>
                <w:color w:val="FFFFFF" w:themeColor="background1"/>
              </w:rPr>
              <w:t>About Edelweiss</w:t>
            </w:r>
          </w:p>
        </w:tc>
      </w:tr>
      <w:tr w:rsidR="00E966CC" w:rsidRPr="006E2FCC" w14:paraId="2820DAE8" w14:textId="77777777" w:rsidTr="00E966CC">
        <w:trPr>
          <w:trHeight w:val="499"/>
        </w:trPr>
        <w:tc>
          <w:tcPr>
            <w:tcW w:w="10185" w:type="dxa"/>
            <w:gridSpan w:val="5"/>
            <w:shd w:val="clear" w:color="auto" w:fill="FFFFFF" w:themeFill="background1"/>
            <w:noWrap/>
            <w:vAlign w:val="center"/>
            <w:hideMark/>
          </w:tcPr>
          <w:p w14:paraId="2820DAE1" w14:textId="77777777" w:rsidR="00AA2453" w:rsidRPr="006E2FCC" w:rsidRDefault="00AA2453" w:rsidP="00AA2453">
            <w:pPr>
              <w:rPr>
                <w:rFonts w:eastAsia="Times New Roman" w:cs="Arial"/>
                <w:bCs/>
                <w:color w:val="000000" w:themeColor="text1"/>
              </w:rPr>
            </w:pPr>
            <w:r w:rsidRPr="006E2FCC">
              <w:rPr>
                <w:rFonts w:eastAsia="Times New Roman" w:cs="Arial"/>
                <w:bCs/>
                <w:color w:val="000000" w:themeColor="text1"/>
              </w:rPr>
              <w:t>Edelweiss is one of India’s leading diversified financial services Group. Edelweiss offers a large range of products and services spanning across asset classes and consumer segments. Its businesses are broadly divided into Credit including Retail Finance and Debt Capital Markets, Commodities, Financial Markets, Asset Management and Life Insurance.</w:t>
            </w:r>
          </w:p>
          <w:p w14:paraId="2820DAE2" w14:textId="77777777" w:rsidR="00AA2453" w:rsidRPr="006E2FCC" w:rsidRDefault="00AA2453" w:rsidP="00AA2453">
            <w:pPr>
              <w:rPr>
                <w:rFonts w:eastAsia="Times New Roman" w:cs="Arial"/>
                <w:bCs/>
                <w:color w:val="000000" w:themeColor="text1"/>
              </w:rPr>
            </w:pPr>
          </w:p>
          <w:p w14:paraId="2820DAE3" w14:textId="77777777" w:rsidR="00AA2453" w:rsidRPr="006E2FCC" w:rsidRDefault="00AA2453" w:rsidP="00AA2453">
            <w:pPr>
              <w:rPr>
                <w:rFonts w:eastAsia="Times New Roman" w:cs="Arial"/>
                <w:bCs/>
                <w:color w:val="000000" w:themeColor="text1"/>
              </w:rPr>
            </w:pPr>
            <w:r w:rsidRPr="006E2FCC">
              <w:rPr>
                <w:rFonts w:eastAsia="Times New Roman" w:cs="Arial"/>
                <w:bCs/>
                <w:color w:val="000000" w:themeColor="text1"/>
              </w:rPr>
              <w:t xml:space="preserve">The group’s research driven approach and proven history of innovation has enabled it to foster strong relationships across corporate, </w:t>
            </w:r>
            <w:proofErr w:type="gramStart"/>
            <w:r w:rsidRPr="006E2FCC">
              <w:rPr>
                <w:rFonts w:eastAsia="Times New Roman" w:cs="Arial"/>
                <w:bCs/>
                <w:color w:val="000000" w:themeColor="text1"/>
              </w:rPr>
              <w:t>institutional</w:t>
            </w:r>
            <w:proofErr w:type="gramEnd"/>
            <w:r w:rsidRPr="006E2FCC">
              <w:rPr>
                <w:rFonts w:eastAsia="Times New Roman" w:cs="Arial"/>
                <w:bCs/>
                <w:color w:val="000000" w:themeColor="text1"/>
              </w:rPr>
              <w:t xml:space="preserve"> and individual clients. </w:t>
            </w:r>
          </w:p>
          <w:p w14:paraId="2820DAE4" w14:textId="77777777" w:rsidR="00AA2453" w:rsidRPr="006E2FCC" w:rsidRDefault="00AA2453" w:rsidP="00AA2453">
            <w:pPr>
              <w:rPr>
                <w:rFonts w:eastAsia="Times New Roman" w:cs="Arial"/>
                <w:bCs/>
                <w:color w:val="000000" w:themeColor="text1"/>
              </w:rPr>
            </w:pPr>
          </w:p>
          <w:p w14:paraId="2820DAE5" w14:textId="77777777" w:rsidR="00AA2453" w:rsidRPr="006E2FCC" w:rsidRDefault="00AA2453" w:rsidP="00AA2453">
            <w:pPr>
              <w:rPr>
                <w:rFonts w:eastAsia="Times New Roman" w:cs="Arial"/>
                <w:bCs/>
                <w:color w:val="000000" w:themeColor="text1"/>
              </w:rPr>
            </w:pPr>
            <w:r w:rsidRPr="006E2FCC">
              <w:rPr>
                <w:rFonts w:eastAsia="Times New Roman" w:cs="Arial"/>
                <w:bCs/>
                <w:color w:val="000000" w:themeColor="text1"/>
              </w:rPr>
              <w:t xml:space="preserve">The firm's culture promotes entrepreneurship, encouraging employees to display high levels of initiative, hunger for learning, be </w:t>
            </w:r>
            <w:proofErr w:type="spellStart"/>
            <w:r w:rsidRPr="006E2FCC">
              <w:rPr>
                <w:rFonts w:eastAsia="Times New Roman" w:cs="Arial"/>
                <w:bCs/>
                <w:color w:val="000000" w:themeColor="text1"/>
              </w:rPr>
              <w:t>self driven</w:t>
            </w:r>
            <w:proofErr w:type="spellEnd"/>
            <w:r w:rsidRPr="006E2FCC">
              <w:rPr>
                <w:rFonts w:eastAsia="Times New Roman" w:cs="Arial"/>
                <w:bCs/>
                <w:color w:val="000000" w:themeColor="text1"/>
              </w:rPr>
              <w:t xml:space="preserve"> and urge to take on additional responsibility. We recognize and nurture talent, which also reflects in the way learning is embedded in our DNA and has been a constant feature of the Edelweiss culture. </w:t>
            </w:r>
          </w:p>
          <w:p w14:paraId="2820DAE6" w14:textId="77777777" w:rsidR="00AA2453" w:rsidRPr="006E2FCC" w:rsidRDefault="00AA2453" w:rsidP="00AA2453">
            <w:pPr>
              <w:rPr>
                <w:rFonts w:eastAsia="Times New Roman" w:cs="Arial"/>
                <w:bCs/>
                <w:color w:val="000000" w:themeColor="text1"/>
              </w:rPr>
            </w:pPr>
          </w:p>
          <w:p w14:paraId="2820DAE7" w14:textId="77777777" w:rsidR="00E966CC" w:rsidRPr="006E2FCC" w:rsidRDefault="00AA2453" w:rsidP="00AA2453">
            <w:pPr>
              <w:rPr>
                <w:rFonts w:eastAsia="Times New Roman" w:cs="Arial"/>
                <w:b/>
                <w:bCs/>
                <w:color w:val="FFFFFF" w:themeColor="background1"/>
              </w:rPr>
            </w:pPr>
            <w:r w:rsidRPr="006E2FCC">
              <w:rPr>
                <w:rFonts w:eastAsia="Times New Roman" w:cs="Arial"/>
                <w:bCs/>
                <w:color w:val="000000" w:themeColor="text1"/>
              </w:rPr>
              <w:t>Working with Edelweiss means constantly challenging your own capabilities to reach newer heights. Edelweiss considers itself as a “young” organization and defines young as hungry for growth and driving that hunger through innovation and creativity- our core values.</w:t>
            </w:r>
          </w:p>
        </w:tc>
      </w:tr>
      <w:tr w:rsidR="00FB0A96" w:rsidRPr="006E2FCC" w14:paraId="2820DAEA" w14:textId="77777777" w:rsidTr="00FB0A96">
        <w:trPr>
          <w:trHeight w:val="499"/>
        </w:trPr>
        <w:tc>
          <w:tcPr>
            <w:tcW w:w="10185" w:type="dxa"/>
            <w:gridSpan w:val="5"/>
            <w:shd w:val="clear" w:color="auto" w:fill="4D4F53"/>
            <w:noWrap/>
            <w:vAlign w:val="center"/>
            <w:hideMark/>
          </w:tcPr>
          <w:p w14:paraId="2820DAE9" w14:textId="77777777" w:rsidR="00FB0A96" w:rsidRPr="006E2FCC" w:rsidRDefault="00AA2453" w:rsidP="002B0555">
            <w:pPr>
              <w:jc w:val="center"/>
              <w:rPr>
                <w:rFonts w:eastAsia="Times New Roman" w:cs="Arial"/>
                <w:b/>
                <w:bCs/>
                <w:color w:val="FFFFFF" w:themeColor="background1"/>
              </w:rPr>
            </w:pPr>
            <w:r w:rsidRPr="006E2FCC">
              <w:rPr>
                <w:rFonts w:eastAsia="Times New Roman" w:cs="Arial"/>
                <w:b/>
                <w:bCs/>
                <w:color w:val="FFFFFF" w:themeColor="background1"/>
              </w:rPr>
              <w:t>About LOB</w:t>
            </w:r>
          </w:p>
        </w:tc>
      </w:tr>
      <w:tr w:rsidR="00FB0A96" w:rsidRPr="006E2FCC" w14:paraId="2820DAF2" w14:textId="77777777" w:rsidTr="00FB0A96">
        <w:trPr>
          <w:trHeight w:val="1296"/>
        </w:trPr>
        <w:tc>
          <w:tcPr>
            <w:tcW w:w="10185" w:type="dxa"/>
            <w:gridSpan w:val="5"/>
            <w:vAlign w:val="center"/>
            <w:hideMark/>
          </w:tcPr>
          <w:p w14:paraId="2820DAEB" w14:textId="77777777" w:rsidR="00AA2453" w:rsidRPr="006E2FCC" w:rsidRDefault="00C470F7" w:rsidP="00AA2453">
            <w:pPr>
              <w:rPr>
                <w:rFonts w:eastAsia="Times New Roman" w:cs="Arial"/>
              </w:rPr>
            </w:pPr>
            <w:r>
              <w:rPr>
                <w:rFonts w:eastAsia="Times New Roman" w:cs="Arial"/>
              </w:rPr>
              <w:t xml:space="preserve">Global </w:t>
            </w:r>
            <w:r w:rsidR="00AA2453" w:rsidRPr="006E2FCC">
              <w:rPr>
                <w:rFonts w:eastAsia="Times New Roman" w:cs="Arial"/>
              </w:rPr>
              <w:t>Markets</w:t>
            </w:r>
            <w:r>
              <w:rPr>
                <w:rFonts w:eastAsia="Times New Roman" w:cs="Arial"/>
              </w:rPr>
              <w:t xml:space="preserve"> </w:t>
            </w:r>
            <w:r w:rsidR="00AA2453" w:rsidRPr="006E2FCC">
              <w:rPr>
                <w:rFonts w:eastAsia="Times New Roman" w:cs="Arial"/>
              </w:rPr>
              <w:t xml:space="preserve">SBU represents the Treasury business of Edelweiss. The SBU manages the firm's excess capital, striving to deliver superior risk adjusted returns. </w:t>
            </w:r>
            <w:r>
              <w:rPr>
                <w:rFonts w:eastAsia="Times New Roman" w:cs="Arial"/>
              </w:rPr>
              <w:t xml:space="preserve">Global </w:t>
            </w:r>
            <w:r w:rsidR="00AA2453" w:rsidRPr="006E2FCC">
              <w:rPr>
                <w:rFonts w:eastAsia="Times New Roman" w:cs="Arial"/>
              </w:rPr>
              <w:t xml:space="preserve">Markets SBU has been an integral part of the Edelweiss growth story and has been at the </w:t>
            </w:r>
            <w:proofErr w:type="spellStart"/>
            <w:r w:rsidR="00AA2453" w:rsidRPr="006E2FCC">
              <w:rPr>
                <w:rFonts w:eastAsia="Times New Roman" w:cs="Arial"/>
              </w:rPr>
              <w:t>forefornt</w:t>
            </w:r>
            <w:proofErr w:type="spellEnd"/>
            <w:r w:rsidR="00AA2453" w:rsidRPr="006E2FCC">
              <w:rPr>
                <w:rFonts w:eastAsia="Times New Roman" w:cs="Arial"/>
              </w:rPr>
              <w:t xml:space="preserve"> of innovation ever since derivatives were launched in India in 2001 and till date thrives on being the market leaders in several of its market segments. </w:t>
            </w:r>
          </w:p>
          <w:p w14:paraId="2820DAEC" w14:textId="77777777" w:rsidR="00AA2453" w:rsidRPr="006E2FCC" w:rsidRDefault="00AA2453" w:rsidP="00AA2453">
            <w:pPr>
              <w:rPr>
                <w:rFonts w:eastAsia="Times New Roman" w:cs="Arial"/>
              </w:rPr>
            </w:pPr>
          </w:p>
          <w:p w14:paraId="2820DAED" w14:textId="77777777" w:rsidR="00AA2453" w:rsidRPr="006E2FCC" w:rsidRDefault="00AA2453" w:rsidP="00AA2453">
            <w:pPr>
              <w:rPr>
                <w:rFonts w:eastAsia="Times New Roman" w:cs="Arial"/>
              </w:rPr>
            </w:pPr>
            <w:r w:rsidRPr="006E2FCC">
              <w:rPr>
                <w:rFonts w:eastAsia="Times New Roman" w:cs="Arial"/>
              </w:rPr>
              <w:t>Over the years, the SBU has diversified its business across geographies and asset classes. We have offices in India &amp; Singapore and trade in Equities/Fixed Income &amp; Currencies in Indian &amp; all other markets in the Asia Pac region. We follow a multi -dimensional strategy approach across these asset classes, ranging across the spectrum of risk return to the likes of arbitrage, options trading, systematic trading, high frequency trading and corporate actions. Dynamic risk and capital allocation across these strategies is the cornerstone of superior risk returns.</w:t>
            </w:r>
          </w:p>
          <w:p w14:paraId="2820DAEE" w14:textId="77777777" w:rsidR="00AA2453" w:rsidRPr="006E2FCC" w:rsidRDefault="00AA2453" w:rsidP="00AA2453">
            <w:pPr>
              <w:rPr>
                <w:rFonts w:eastAsia="Times New Roman" w:cs="Arial"/>
              </w:rPr>
            </w:pPr>
          </w:p>
          <w:p w14:paraId="2820DAEF" w14:textId="77777777" w:rsidR="00AA2453" w:rsidRPr="006E2FCC" w:rsidRDefault="00AA2453" w:rsidP="00AA2453">
            <w:pPr>
              <w:rPr>
                <w:rFonts w:eastAsia="Times New Roman" w:cs="Arial"/>
              </w:rPr>
            </w:pPr>
            <w:r w:rsidRPr="006E2FCC">
              <w:rPr>
                <w:rFonts w:eastAsia="Times New Roman" w:cs="Arial"/>
              </w:rPr>
              <w:t xml:space="preserve">We run India's largest arbitrage book, the largest Structured Products book and are amongst the </w:t>
            </w:r>
            <w:proofErr w:type="gramStart"/>
            <w:r w:rsidRPr="006E2FCC">
              <w:rPr>
                <w:rFonts w:eastAsia="Times New Roman" w:cs="Arial"/>
              </w:rPr>
              <w:t>top most</w:t>
            </w:r>
            <w:proofErr w:type="gramEnd"/>
            <w:r w:rsidRPr="006E2FCC">
              <w:rPr>
                <w:rFonts w:eastAsia="Times New Roman" w:cs="Arial"/>
              </w:rPr>
              <w:t xml:space="preserve"> leaders in Options and High frequency trading in India.  The SBU has a strong team of seasoned Portfolio Managers and a combined market experience of more than 100 years with them. We strive to hire exceptional </w:t>
            </w:r>
            <w:r w:rsidRPr="006E2FCC">
              <w:rPr>
                <w:rFonts w:eastAsia="Times New Roman" w:cs="Arial"/>
              </w:rPr>
              <w:lastRenderedPageBreak/>
              <w:t xml:space="preserve">talent through multiple rounds of interviews and help them grow with the SBU, while providing them newer and greater challenges.  </w:t>
            </w:r>
          </w:p>
          <w:p w14:paraId="2820DAF0" w14:textId="77777777" w:rsidR="00AA2453" w:rsidRPr="006E2FCC" w:rsidRDefault="00AA2453" w:rsidP="00AA2453">
            <w:pPr>
              <w:rPr>
                <w:rFonts w:eastAsia="Times New Roman" w:cs="Arial"/>
              </w:rPr>
            </w:pPr>
          </w:p>
          <w:p w14:paraId="2820DAF1" w14:textId="77777777" w:rsidR="00E71F8A" w:rsidRPr="006E2FCC" w:rsidRDefault="00AA2453" w:rsidP="00AA2453">
            <w:pPr>
              <w:rPr>
                <w:rFonts w:eastAsia="Times New Roman" w:cs="Arial"/>
              </w:rPr>
            </w:pPr>
            <w:r w:rsidRPr="006E2FCC">
              <w:rPr>
                <w:rFonts w:eastAsia="Times New Roman" w:cs="Arial"/>
              </w:rPr>
              <w:t xml:space="preserve">The </w:t>
            </w:r>
            <w:r w:rsidR="00C470F7">
              <w:rPr>
                <w:rFonts w:eastAsia="Times New Roman" w:cs="Arial"/>
              </w:rPr>
              <w:t xml:space="preserve">Global </w:t>
            </w:r>
            <w:r w:rsidRPr="006E2FCC">
              <w:rPr>
                <w:rFonts w:eastAsia="Times New Roman" w:cs="Arial"/>
              </w:rPr>
              <w:t>Markets SBU has a strong internal Business Risk team. The team manages all the risks - financial, operational &amp; compliance relating risks for the SBU. We take pride in our superior risk management culture and truly believe ourselves to be the best when it comes to managing risk.</w:t>
            </w:r>
          </w:p>
        </w:tc>
      </w:tr>
      <w:tr w:rsidR="00E966CC" w:rsidRPr="006E2FCC" w14:paraId="2820DAF4" w14:textId="77777777" w:rsidTr="00FB0A96">
        <w:trPr>
          <w:trHeight w:val="499"/>
        </w:trPr>
        <w:tc>
          <w:tcPr>
            <w:tcW w:w="10185" w:type="dxa"/>
            <w:gridSpan w:val="5"/>
            <w:shd w:val="clear" w:color="auto" w:fill="4D4F53"/>
            <w:noWrap/>
            <w:vAlign w:val="center"/>
            <w:hideMark/>
          </w:tcPr>
          <w:p w14:paraId="2820DAF3" w14:textId="77777777" w:rsidR="00E966CC" w:rsidRPr="006E2FCC" w:rsidRDefault="00E966CC" w:rsidP="002B0555">
            <w:pPr>
              <w:jc w:val="center"/>
              <w:rPr>
                <w:rFonts w:eastAsia="Times New Roman" w:cs="Arial"/>
                <w:b/>
                <w:bCs/>
                <w:color w:val="FFFFFF" w:themeColor="background1"/>
              </w:rPr>
            </w:pPr>
            <w:r w:rsidRPr="006E2FCC">
              <w:rPr>
                <w:rFonts w:eastAsia="Times New Roman" w:cs="Arial"/>
                <w:b/>
                <w:bCs/>
                <w:color w:val="FFFFFF" w:themeColor="background1"/>
              </w:rPr>
              <w:lastRenderedPageBreak/>
              <w:t>Job Purpose</w:t>
            </w:r>
          </w:p>
        </w:tc>
      </w:tr>
      <w:tr w:rsidR="00E966CC" w:rsidRPr="006E2FCC" w14:paraId="2820DAF7" w14:textId="77777777" w:rsidTr="00E966CC">
        <w:trPr>
          <w:trHeight w:val="499"/>
        </w:trPr>
        <w:tc>
          <w:tcPr>
            <w:tcW w:w="10185" w:type="dxa"/>
            <w:gridSpan w:val="5"/>
            <w:shd w:val="clear" w:color="auto" w:fill="FFFFFF" w:themeFill="background1"/>
            <w:noWrap/>
            <w:vAlign w:val="center"/>
            <w:hideMark/>
          </w:tcPr>
          <w:p w14:paraId="12C556A9" w14:textId="77777777" w:rsidR="00CF3C97" w:rsidRDefault="00875A84" w:rsidP="00E30E7F">
            <w:pPr>
              <w:spacing w:line="276" w:lineRule="auto"/>
              <w:rPr>
                <w:rFonts w:eastAsia="Times New Roman" w:cs="Arial"/>
              </w:rPr>
            </w:pPr>
            <w:r w:rsidRPr="00E30E7F">
              <w:rPr>
                <w:rFonts w:eastAsia="Times New Roman" w:cs="Arial"/>
              </w:rPr>
              <w:t xml:space="preserve">As a </w:t>
            </w:r>
            <w:r w:rsidR="00E30E7F" w:rsidRPr="00E30E7F">
              <w:rPr>
                <w:rFonts w:eastAsia="Times New Roman" w:cs="Arial"/>
              </w:rPr>
              <w:t>q</w:t>
            </w:r>
            <w:r w:rsidRPr="00E30E7F">
              <w:rPr>
                <w:rFonts w:eastAsia="Times New Roman" w:cs="Arial"/>
              </w:rPr>
              <w:t>uantitative</w:t>
            </w:r>
            <w:r w:rsidR="00E30E7F" w:rsidRPr="00E30E7F">
              <w:rPr>
                <w:rFonts w:eastAsia="Times New Roman" w:cs="Arial"/>
              </w:rPr>
              <w:t xml:space="preserve"> analyst</w:t>
            </w:r>
            <w:r w:rsidR="00E30E7F">
              <w:rPr>
                <w:rFonts w:eastAsia="Times New Roman" w:cs="Arial"/>
              </w:rPr>
              <w:t xml:space="preserve"> on the proprietary desk</w:t>
            </w:r>
            <w:r w:rsidRPr="00E30E7F">
              <w:rPr>
                <w:rFonts w:eastAsia="Times New Roman" w:cs="Arial"/>
              </w:rPr>
              <w:t xml:space="preserve">, </w:t>
            </w:r>
            <w:proofErr w:type="gramStart"/>
            <w:r w:rsidRPr="00E30E7F">
              <w:rPr>
                <w:rFonts w:eastAsia="Times New Roman" w:cs="Arial"/>
              </w:rPr>
              <w:t>you'll</w:t>
            </w:r>
            <w:proofErr w:type="gramEnd"/>
            <w:r w:rsidRPr="00E30E7F">
              <w:rPr>
                <w:rFonts w:eastAsia="Times New Roman" w:cs="Arial"/>
              </w:rPr>
              <w:t xml:space="preserve"> draw upon your </w:t>
            </w:r>
            <w:r w:rsidR="00E30E7F" w:rsidRPr="00E30E7F">
              <w:rPr>
                <w:rFonts w:eastAsia="Times New Roman" w:cs="Arial"/>
              </w:rPr>
              <w:t>engineering</w:t>
            </w:r>
            <w:r w:rsidRPr="00E30E7F">
              <w:rPr>
                <w:rFonts w:eastAsia="Times New Roman" w:cs="Arial"/>
              </w:rPr>
              <w:t xml:space="preserve">, mathematical and analytical abilities to </w:t>
            </w:r>
            <w:r w:rsidR="00E30E7F" w:rsidRPr="00E30E7F">
              <w:rPr>
                <w:rFonts w:eastAsia="Times New Roman" w:cs="Arial"/>
              </w:rPr>
              <w:t xml:space="preserve">help </w:t>
            </w:r>
            <w:r w:rsidRPr="00E30E7F">
              <w:rPr>
                <w:rFonts w:eastAsia="Times New Roman" w:cs="Arial"/>
              </w:rPr>
              <w:t xml:space="preserve">develop </w:t>
            </w:r>
            <w:r w:rsidR="00E30E7F" w:rsidRPr="00E30E7F">
              <w:rPr>
                <w:rFonts w:eastAsia="Times New Roman" w:cs="Arial"/>
              </w:rPr>
              <w:t xml:space="preserve">and manage </w:t>
            </w:r>
            <w:r w:rsidRPr="00E30E7F">
              <w:rPr>
                <w:rFonts w:eastAsia="Times New Roman" w:cs="Arial"/>
              </w:rPr>
              <w:t xml:space="preserve">trading strategies for India and global financial markets. </w:t>
            </w:r>
            <w:r w:rsidR="00E30E7F" w:rsidRPr="00E30E7F">
              <w:rPr>
                <w:rFonts w:eastAsia="Times New Roman" w:cs="Arial"/>
              </w:rPr>
              <w:t xml:space="preserve">You </w:t>
            </w:r>
            <w:r w:rsidRPr="00E30E7F">
              <w:rPr>
                <w:rFonts w:eastAsia="Times New Roman" w:cs="Arial"/>
              </w:rPr>
              <w:t>will be working with a team of highly skilled researchers and traders</w:t>
            </w:r>
            <w:r w:rsidR="005264EF">
              <w:rPr>
                <w:rFonts w:eastAsia="Times New Roman" w:cs="Arial"/>
              </w:rPr>
              <w:t xml:space="preserve"> on the front office</w:t>
            </w:r>
            <w:r w:rsidRPr="00E30E7F">
              <w:rPr>
                <w:rFonts w:eastAsia="Times New Roman" w:cs="Arial"/>
              </w:rPr>
              <w:t>, making this an ideal opportunity to learn from a range of different sources and backgrounds</w:t>
            </w:r>
            <w:r w:rsidR="005264EF">
              <w:rPr>
                <w:rFonts w:eastAsia="Times New Roman" w:cs="Arial"/>
              </w:rPr>
              <w:t>.</w:t>
            </w:r>
          </w:p>
          <w:p w14:paraId="362E1B37" w14:textId="77777777" w:rsidR="00CF3C97" w:rsidRDefault="00CF3C97" w:rsidP="00E30E7F">
            <w:pPr>
              <w:spacing w:line="276" w:lineRule="auto"/>
              <w:rPr>
                <w:rFonts w:eastAsia="Times New Roman" w:cs="Arial"/>
              </w:rPr>
            </w:pPr>
          </w:p>
          <w:p w14:paraId="2820DAF5" w14:textId="48C0C16A" w:rsidR="00875A84" w:rsidRPr="00E30E7F" w:rsidRDefault="005264EF" w:rsidP="00E30E7F">
            <w:pPr>
              <w:spacing w:line="276" w:lineRule="auto"/>
              <w:rPr>
                <w:rFonts w:eastAsia="Times New Roman" w:cs="Arial"/>
              </w:rPr>
            </w:pPr>
            <w:r>
              <w:rPr>
                <w:rFonts w:eastAsia="Times New Roman" w:cs="Arial"/>
              </w:rPr>
              <w:t>Th</w:t>
            </w:r>
            <w:r w:rsidR="00236521">
              <w:rPr>
                <w:rFonts w:eastAsia="Times New Roman" w:cs="Arial"/>
              </w:rPr>
              <w:t>is</w:t>
            </w:r>
            <w:r>
              <w:rPr>
                <w:rFonts w:eastAsia="Times New Roman" w:cs="Arial"/>
              </w:rPr>
              <w:t xml:space="preserve"> role </w:t>
            </w:r>
            <w:r w:rsidR="00236521">
              <w:rPr>
                <w:rFonts w:eastAsia="Times New Roman" w:cs="Arial"/>
              </w:rPr>
              <w:t xml:space="preserve">is relatively new and </w:t>
            </w:r>
            <w:r>
              <w:rPr>
                <w:rFonts w:eastAsia="Times New Roman" w:cs="Arial"/>
              </w:rPr>
              <w:t>offers you an opportunity to take significant responsibilities at an early stage in your career.</w:t>
            </w:r>
            <w:r w:rsidR="00236521">
              <w:rPr>
                <w:rFonts w:eastAsia="Times New Roman" w:cs="Arial"/>
              </w:rPr>
              <w:t xml:space="preserve"> It is </w:t>
            </w:r>
            <w:r w:rsidR="00CF3C97">
              <w:rPr>
                <w:rFonts w:eastAsia="Times New Roman" w:cs="Arial"/>
              </w:rPr>
              <w:t xml:space="preserve">being imagined </w:t>
            </w:r>
            <w:r w:rsidR="00236521">
              <w:rPr>
                <w:rFonts w:eastAsia="Times New Roman" w:cs="Arial"/>
              </w:rPr>
              <w:t xml:space="preserve">as a combination of code development and trading analytics, and growth can take on </w:t>
            </w:r>
            <w:r w:rsidR="00CF3C97">
              <w:rPr>
                <w:rFonts w:eastAsia="Times New Roman" w:cs="Arial"/>
              </w:rPr>
              <w:t>any</w:t>
            </w:r>
            <w:r w:rsidR="00236521">
              <w:rPr>
                <w:rFonts w:eastAsia="Times New Roman" w:cs="Arial"/>
              </w:rPr>
              <w:t xml:space="preserve"> </w:t>
            </w:r>
            <w:r w:rsidR="00653DE7">
              <w:rPr>
                <w:rFonts w:eastAsia="Times New Roman" w:cs="Arial"/>
              </w:rPr>
              <w:t>form</w:t>
            </w:r>
            <w:r w:rsidR="00DC4799">
              <w:rPr>
                <w:rFonts w:eastAsia="Times New Roman" w:cs="Arial"/>
              </w:rPr>
              <w:t xml:space="preserve"> – as</w:t>
            </w:r>
            <w:r w:rsidR="00236521">
              <w:rPr>
                <w:rFonts w:eastAsia="Times New Roman" w:cs="Arial"/>
              </w:rPr>
              <w:t xml:space="preserve"> a full-fledged </w:t>
            </w:r>
            <w:r w:rsidR="00653DE7">
              <w:rPr>
                <w:rFonts w:eastAsia="Times New Roman" w:cs="Arial"/>
              </w:rPr>
              <w:t xml:space="preserve">systemic </w:t>
            </w:r>
            <w:r w:rsidR="00DC4799">
              <w:rPr>
                <w:rFonts w:eastAsia="Times New Roman" w:cs="Arial"/>
              </w:rPr>
              <w:t xml:space="preserve">strategy </w:t>
            </w:r>
            <w:r w:rsidR="00653DE7">
              <w:rPr>
                <w:rFonts w:eastAsia="Times New Roman" w:cs="Arial"/>
              </w:rPr>
              <w:t>developer</w:t>
            </w:r>
            <w:r w:rsidR="00CF3C97">
              <w:rPr>
                <w:rFonts w:eastAsia="Times New Roman" w:cs="Arial"/>
              </w:rPr>
              <w:t>, a system designer</w:t>
            </w:r>
            <w:r w:rsidR="00653DE7">
              <w:rPr>
                <w:rFonts w:eastAsia="Times New Roman" w:cs="Arial"/>
              </w:rPr>
              <w:t xml:space="preserve"> </w:t>
            </w:r>
            <w:r w:rsidR="00CF3C97">
              <w:rPr>
                <w:rFonts w:eastAsia="Times New Roman" w:cs="Arial"/>
              </w:rPr>
              <w:t>and</w:t>
            </w:r>
            <w:r w:rsidR="00DC4799">
              <w:rPr>
                <w:rFonts w:eastAsia="Times New Roman" w:cs="Arial"/>
              </w:rPr>
              <w:t xml:space="preserve"> a trader who knows and uses technology to </w:t>
            </w:r>
            <w:r w:rsidR="00CF3C97">
              <w:rPr>
                <w:rFonts w:eastAsia="Times New Roman" w:cs="Arial"/>
              </w:rPr>
              <w:t xml:space="preserve">secure a </w:t>
            </w:r>
            <w:r w:rsidR="00D54AEA">
              <w:rPr>
                <w:rFonts w:eastAsia="Times New Roman" w:cs="Arial"/>
              </w:rPr>
              <w:t xml:space="preserve">market edge – or some amalgamation of </w:t>
            </w:r>
            <w:r w:rsidR="00CF3C97">
              <w:rPr>
                <w:rFonts w:eastAsia="Times New Roman" w:cs="Arial"/>
              </w:rPr>
              <w:t>all</w:t>
            </w:r>
            <w:r w:rsidR="00D54AEA">
              <w:rPr>
                <w:rFonts w:eastAsia="Times New Roman" w:cs="Arial"/>
              </w:rPr>
              <w:t>.</w:t>
            </w:r>
          </w:p>
          <w:p w14:paraId="2820DAF6" w14:textId="77777777" w:rsidR="00E966CC" w:rsidRPr="006E2FCC" w:rsidRDefault="00E966CC" w:rsidP="00875A84">
            <w:pPr>
              <w:ind w:left="360"/>
              <w:rPr>
                <w:rFonts w:eastAsia="Times New Roman" w:cs="Arial"/>
                <w:b/>
                <w:bCs/>
                <w:color w:val="000000" w:themeColor="text1"/>
              </w:rPr>
            </w:pPr>
          </w:p>
        </w:tc>
      </w:tr>
      <w:tr w:rsidR="00FB0A96" w:rsidRPr="006E2FCC" w14:paraId="2820DAF9" w14:textId="77777777" w:rsidTr="00FB0A96">
        <w:trPr>
          <w:trHeight w:val="499"/>
        </w:trPr>
        <w:tc>
          <w:tcPr>
            <w:tcW w:w="10185" w:type="dxa"/>
            <w:gridSpan w:val="5"/>
            <w:shd w:val="clear" w:color="auto" w:fill="4D4F53"/>
            <w:noWrap/>
            <w:vAlign w:val="center"/>
            <w:hideMark/>
          </w:tcPr>
          <w:p w14:paraId="2820DAF8" w14:textId="77777777" w:rsidR="00FB0A96" w:rsidRPr="006E2FCC" w:rsidRDefault="00FB0A96" w:rsidP="002B0555">
            <w:pPr>
              <w:jc w:val="center"/>
              <w:rPr>
                <w:rFonts w:eastAsia="Times New Roman" w:cs="Arial"/>
                <w:b/>
                <w:bCs/>
                <w:color w:val="FFFFFF" w:themeColor="background1"/>
              </w:rPr>
            </w:pPr>
            <w:r w:rsidRPr="006E2FCC">
              <w:rPr>
                <w:rFonts w:eastAsia="Times New Roman" w:cs="Arial"/>
                <w:b/>
                <w:bCs/>
                <w:color w:val="FFFFFF" w:themeColor="background1"/>
              </w:rPr>
              <w:t>Key Responsibilities</w:t>
            </w:r>
          </w:p>
        </w:tc>
      </w:tr>
      <w:tr w:rsidR="00E30E7F" w:rsidRPr="006E2FCC" w14:paraId="2820DAFC" w14:textId="77777777" w:rsidTr="00505905">
        <w:trPr>
          <w:trHeight w:val="499"/>
        </w:trPr>
        <w:tc>
          <w:tcPr>
            <w:tcW w:w="2700" w:type="dxa"/>
            <w:vMerge w:val="restart"/>
            <w:shd w:val="clear" w:color="auto" w:fill="C9CAC8"/>
            <w:vAlign w:val="center"/>
          </w:tcPr>
          <w:p w14:paraId="2820DAFA" w14:textId="77777777" w:rsidR="00E30E7F" w:rsidRPr="006E2FCC" w:rsidRDefault="00E30E7F" w:rsidP="004D3579">
            <w:pPr>
              <w:rPr>
                <w:rFonts w:eastAsia="Times New Roman" w:cs="Arial"/>
                <w:b/>
                <w:bCs/>
              </w:rPr>
            </w:pPr>
            <w:r w:rsidRPr="006E2FCC">
              <w:rPr>
                <w:rFonts w:eastAsia="Times New Roman" w:cs="Arial"/>
                <w:b/>
                <w:bCs/>
              </w:rPr>
              <w:t>Responsibilities</w:t>
            </w:r>
          </w:p>
        </w:tc>
        <w:tc>
          <w:tcPr>
            <w:tcW w:w="7485" w:type="dxa"/>
            <w:gridSpan w:val="4"/>
            <w:shd w:val="clear" w:color="auto" w:fill="auto"/>
            <w:vAlign w:val="center"/>
          </w:tcPr>
          <w:p w14:paraId="2820DAFB" w14:textId="77777777" w:rsidR="00E30E7F" w:rsidRPr="006E2FCC" w:rsidRDefault="00E30E7F" w:rsidP="00E30E7F">
            <w:pPr>
              <w:rPr>
                <w:rFonts w:eastAsia="Calibri" w:cs="Calibri"/>
              </w:rPr>
            </w:pPr>
            <w:r>
              <w:rPr>
                <w:rFonts w:eastAsia="Calibri" w:cs="Calibri"/>
              </w:rPr>
              <w:t xml:space="preserve">Assisting </w:t>
            </w:r>
            <w:r w:rsidRPr="00785A04">
              <w:rPr>
                <w:rFonts w:eastAsia="Calibri" w:cs="Calibri"/>
              </w:rPr>
              <w:t>trader</w:t>
            </w:r>
            <w:r>
              <w:rPr>
                <w:rFonts w:eastAsia="Calibri" w:cs="Calibri"/>
              </w:rPr>
              <w:t>s</w:t>
            </w:r>
            <w:r w:rsidRPr="00785A04">
              <w:rPr>
                <w:rFonts w:eastAsia="Calibri" w:cs="Calibri"/>
              </w:rPr>
              <w:t xml:space="preserve"> in managing </w:t>
            </w:r>
            <w:r>
              <w:rPr>
                <w:rFonts w:eastAsia="Calibri" w:cs="Calibri"/>
              </w:rPr>
              <w:t>a trading book</w:t>
            </w:r>
          </w:p>
        </w:tc>
      </w:tr>
      <w:tr w:rsidR="00E30E7F" w:rsidRPr="006E2FCC" w14:paraId="2820DAFF" w14:textId="77777777" w:rsidTr="00505905">
        <w:trPr>
          <w:trHeight w:val="499"/>
        </w:trPr>
        <w:tc>
          <w:tcPr>
            <w:tcW w:w="2700" w:type="dxa"/>
            <w:vMerge/>
            <w:shd w:val="clear" w:color="auto" w:fill="C9CAC8"/>
            <w:vAlign w:val="center"/>
          </w:tcPr>
          <w:p w14:paraId="2820DAFD" w14:textId="77777777" w:rsidR="00E30E7F" w:rsidRPr="006E2FCC" w:rsidRDefault="00E30E7F" w:rsidP="004D3579">
            <w:pPr>
              <w:rPr>
                <w:rFonts w:eastAsia="Times New Roman" w:cs="Arial"/>
                <w:b/>
                <w:bCs/>
              </w:rPr>
            </w:pPr>
          </w:p>
        </w:tc>
        <w:tc>
          <w:tcPr>
            <w:tcW w:w="7485" w:type="dxa"/>
            <w:gridSpan w:val="4"/>
            <w:shd w:val="clear" w:color="auto" w:fill="auto"/>
            <w:vAlign w:val="center"/>
          </w:tcPr>
          <w:p w14:paraId="2820DAFE" w14:textId="77777777" w:rsidR="00E30E7F" w:rsidRPr="006E2FCC" w:rsidRDefault="00E30E7F" w:rsidP="00E30E7F">
            <w:pPr>
              <w:suppressAutoHyphens/>
              <w:rPr>
                <w:rFonts w:eastAsia="Calibri" w:cs="Calibri"/>
              </w:rPr>
            </w:pPr>
            <w:r>
              <w:rPr>
                <w:rFonts w:eastAsia="Calibri" w:cs="Calibri"/>
              </w:rPr>
              <w:t>Quantitative research, post-trade analytics and assisting in model-building</w:t>
            </w:r>
          </w:p>
        </w:tc>
      </w:tr>
      <w:tr w:rsidR="00E30E7F" w:rsidRPr="006E2FCC" w14:paraId="2820DB02" w14:textId="77777777" w:rsidTr="00505905">
        <w:trPr>
          <w:trHeight w:val="499"/>
        </w:trPr>
        <w:tc>
          <w:tcPr>
            <w:tcW w:w="2700" w:type="dxa"/>
            <w:vMerge/>
            <w:shd w:val="clear" w:color="auto" w:fill="C9CAC8"/>
            <w:vAlign w:val="center"/>
          </w:tcPr>
          <w:p w14:paraId="2820DB00" w14:textId="77777777" w:rsidR="00E30E7F" w:rsidRPr="006E2FCC" w:rsidRDefault="00E30E7F" w:rsidP="004D3579">
            <w:pPr>
              <w:rPr>
                <w:rFonts w:eastAsia="Times New Roman" w:cs="Arial"/>
                <w:b/>
                <w:bCs/>
              </w:rPr>
            </w:pPr>
          </w:p>
        </w:tc>
        <w:tc>
          <w:tcPr>
            <w:tcW w:w="7485" w:type="dxa"/>
            <w:gridSpan w:val="4"/>
            <w:shd w:val="clear" w:color="auto" w:fill="auto"/>
            <w:vAlign w:val="center"/>
          </w:tcPr>
          <w:p w14:paraId="2820DB01" w14:textId="77777777" w:rsidR="00E30E7F" w:rsidRPr="006E2FCC" w:rsidRDefault="00E30E7F" w:rsidP="00C470F7">
            <w:pPr>
              <w:suppressAutoHyphens/>
              <w:rPr>
                <w:rFonts w:eastAsia="Calibri" w:cs="Calibri"/>
              </w:rPr>
            </w:pPr>
            <w:r w:rsidRPr="00785A04">
              <w:rPr>
                <w:rFonts w:eastAsia="Calibri" w:cs="Calibri"/>
              </w:rPr>
              <w:t>Develop and maintain opportunity trackers and position monitors</w:t>
            </w:r>
          </w:p>
        </w:tc>
      </w:tr>
      <w:tr w:rsidR="00534B81" w:rsidRPr="006E2FCC" w14:paraId="38EB7D75" w14:textId="77777777" w:rsidTr="00534B81">
        <w:trPr>
          <w:trHeight w:val="821"/>
        </w:trPr>
        <w:tc>
          <w:tcPr>
            <w:tcW w:w="2700" w:type="dxa"/>
            <w:vMerge/>
            <w:shd w:val="clear" w:color="auto" w:fill="C9CAC8"/>
            <w:vAlign w:val="center"/>
          </w:tcPr>
          <w:p w14:paraId="5750DAC7" w14:textId="77777777" w:rsidR="00534B81" w:rsidRPr="006E2FCC" w:rsidRDefault="00534B81" w:rsidP="004D3579">
            <w:pPr>
              <w:rPr>
                <w:rFonts w:eastAsia="Times New Roman" w:cs="Arial"/>
                <w:b/>
                <w:bCs/>
              </w:rPr>
            </w:pPr>
          </w:p>
        </w:tc>
        <w:tc>
          <w:tcPr>
            <w:tcW w:w="7485" w:type="dxa"/>
            <w:gridSpan w:val="4"/>
            <w:shd w:val="clear" w:color="auto" w:fill="auto"/>
            <w:vAlign w:val="center"/>
          </w:tcPr>
          <w:p w14:paraId="53E5FB6E" w14:textId="68B4FBE1" w:rsidR="00534B81" w:rsidRDefault="00534B81" w:rsidP="00E30E7F">
            <w:pPr>
              <w:suppressAutoHyphens/>
              <w:rPr>
                <w:rFonts w:eastAsia="Calibri" w:cs="Calibri"/>
              </w:rPr>
            </w:pPr>
            <w:r w:rsidRPr="00534B81">
              <w:rPr>
                <w:rFonts w:eastAsia="Calibri" w:cs="Calibri"/>
              </w:rPr>
              <w:t>To develop various components</w:t>
            </w:r>
            <w:r>
              <w:rPr>
                <w:rFonts w:eastAsia="Calibri" w:cs="Calibri"/>
              </w:rPr>
              <w:t xml:space="preserve"> </w:t>
            </w:r>
            <w:r w:rsidRPr="00534B81">
              <w:rPr>
                <w:rFonts w:eastAsia="Calibri" w:cs="Calibri"/>
              </w:rPr>
              <w:t>/</w:t>
            </w:r>
            <w:r>
              <w:rPr>
                <w:rFonts w:eastAsia="Calibri" w:cs="Calibri"/>
              </w:rPr>
              <w:t xml:space="preserve"> </w:t>
            </w:r>
            <w:r w:rsidRPr="00534B81">
              <w:rPr>
                <w:rFonts w:eastAsia="Calibri" w:cs="Calibri"/>
              </w:rPr>
              <w:t>applications with latest technolog</w:t>
            </w:r>
            <w:r>
              <w:rPr>
                <w:rFonts w:eastAsia="Calibri" w:cs="Calibri"/>
              </w:rPr>
              <w:t>y</w:t>
            </w:r>
            <w:r w:rsidRPr="00534B81">
              <w:rPr>
                <w:rFonts w:eastAsia="Calibri" w:cs="Calibri"/>
              </w:rPr>
              <w:t xml:space="preserve"> for new generation platform</w:t>
            </w:r>
            <w:r>
              <w:rPr>
                <w:rFonts w:eastAsia="Calibri" w:cs="Calibri"/>
              </w:rPr>
              <w:t>s</w:t>
            </w:r>
          </w:p>
        </w:tc>
      </w:tr>
      <w:tr w:rsidR="00E30E7F" w:rsidRPr="006E2FCC" w14:paraId="2820DB05" w14:textId="77777777" w:rsidTr="00505905">
        <w:trPr>
          <w:trHeight w:val="499"/>
        </w:trPr>
        <w:tc>
          <w:tcPr>
            <w:tcW w:w="2700" w:type="dxa"/>
            <w:vMerge/>
            <w:shd w:val="clear" w:color="auto" w:fill="C9CAC8"/>
            <w:vAlign w:val="center"/>
          </w:tcPr>
          <w:p w14:paraId="2820DB03" w14:textId="77777777" w:rsidR="00E30E7F" w:rsidRPr="006E2FCC" w:rsidRDefault="00E30E7F" w:rsidP="004D3579">
            <w:pPr>
              <w:rPr>
                <w:rFonts w:eastAsia="Times New Roman" w:cs="Arial"/>
                <w:b/>
                <w:bCs/>
              </w:rPr>
            </w:pPr>
          </w:p>
        </w:tc>
        <w:tc>
          <w:tcPr>
            <w:tcW w:w="7485" w:type="dxa"/>
            <w:gridSpan w:val="4"/>
            <w:shd w:val="clear" w:color="auto" w:fill="auto"/>
            <w:vAlign w:val="center"/>
          </w:tcPr>
          <w:p w14:paraId="2820DB04" w14:textId="1D38C7FB" w:rsidR="00E30E7F" w:rsidRPr="006E2FCC" w:rsidRDefault="00422FA7" w:rsidP="00E30E7F">
            <w:pPr>
              <w:suppressAutoHyphens/>
              <w:rPr>
                <w:rFonts w:eastAsia="Calibri" w:cs="Calibri"/>
              </w:rPr>
            </w:pPr>
            <w:r>
              <w:rPr>
                <w:rFonts w:eastAsia="Calibri" w:cs="Calibri"/>
              </w:rPr>
              <w:t xml:space="preserve">Designing, </w:t>
            </w:r>
            <w:proofErr w:type="gramStart"/>
            <w:r>
              <w:rPr>
                <w:rFonts w:eastAsia="Calibri" w:cs="Calibri"/>
              </w:rPr>
              <w:t>bridging</w:t>
            </w:r>
            <w:proofErr w:type="gramEnd"/>
            <w:r>
              <w:rPr>
                <w:rFonts w:eastAsia="Calibri" w:cs="Calibri"/>
              </w:rPr>
              <w:t xml:space="preserve"> and implementing trade ideas into coded strategies</w:t>
            </w:r>
          </w:p>
        </w:tc>
      </w:tr>
      <w:tr w:rsidR="007442F0" w14:paraId="04B212E3" w14:textId="77777777" w:rsidTr="003846C9">
        <w:trPr>
          <w:trHeight w:val="499"/>
        </w:trPr>
        <w:tc>
          <w:tcPr>
            <w:tcW w:w="10185" w:type="dxa"/>
            <w:gridSpan w:val="5"/>
            <w:tcBorders>
              <w:top w:val="single" w:sz="6" w:space="0" w:color="auto"/>
              <w:left w:val="single" w:sz="6" w:space="0" w:color="auto"/>
              <w:bottom w:val="single" w:sz="6" w:space="0" w:color="auto"/>
              <w:right w:val="single" w:sz="6" w:space="0" w:color="auto"/>
            </w:tcBorders>
            <w:shd w:val="clear" w:color="auto" w:fill="4D4F53"/>
            <w:noWrap/>
            <w:vAlign w:val="center"/>
            <w:hideMark/>
          </w:tcPr>
          <w:p w14:paraId="6E0D0628" w14:textId="77777777" w:rsidR="007442F0" w:rsidRDefault="007442F0" w:rsidP="003846C9">
            <w:pPr>
              <w:jc w:val="center"/>
              <w:rPr>
                <w:rFonts w:eastAsia="Times New Roman" w:cs="Arial"/>
                <w:b/>
                <w:bCs/>
                <w:color w:val="FFFFFF" w:themeColor="background1"/>
                <w:sz w:val="24"/>
                <w:szCs w:val="24"/>
              </w:rPr>
            </w:pPr>
            <w:r>
              <w:rPr>
                <w:rFonts w:eastAsia="Times New Roman" w:cs="Arial"/>
                <w:b/>
                <w:bCs/>
                <w:color w:val="FFFFFF" w:themeColor="background1"/>
                <w:sz w:val="24"/>
                <w:szCs w:val="24"/>
              </w:rPr>
              <w:t>Job Requirements</w:t>
            </w:r>
          </w:p>
        </w:tc>
      </w:tr>
      <w:tr w:rsidR="00106E1A" w:rsidRPr="006E2FCC" w14:paraId="2820DB08" w14:textId="77777777" w:rsidTr="00FB0A96">
        <w:trPr>
          <w:trHeight w:val="499"/>
        </w:trPr>
        <w:tc>
          <w:tcPr>
            <w:tcW w:w="2700" w:type="dxa"/>
            <w:shd w:val="clear" w:color="auto" w:fill="C9CAC8"/>
            <w:noWrap/>
            <w:vAlign w:val="center"/>
            <w:hideMark/>
          </w:tcPr>
          <w:p w14:paraId="2820DB06" w14:textId="77777777" w:rsidR="00106E1A" w:rsidRPr="006E2FCC" w:rsidRDefault="00106E1A" w:rsidP="00106E1A">
            <w:pPr>
              <w:rPr>
                <w:rFonts w:eastAsia="Times New Roman" w:cs="Arial"/>
                <w:b/>
                <w:bCs/>
              </w:rPr>
            </w:pPr>
            <w:r w:rsidRPr="006E2FCC">
              <w:rPr>
                <w:rFonts w:eastAsia="Times New Roman" w:cs="Arial"/>
                <w:b/>
                <w:bCs/>
              </w:rPr>
              <w:t>Qualifications</w:t>
            </w:r>
          </w:p>
        </w:tc>
        <w:tc>
          <w:tcPr>
            <w:tcW w:w="7485" w:type="dxa"/>
            <w:gridSpan w:val="4"/>
            <w:vAlign w:val="center"/>
          </w:tcPr>
          <w:p w14:paraId="2820DB07" w14:textId="4B834123" w:rsidR="00106E1A" w:rsidRPr="006E2FCC" w:rsidRDefault="00106E1A" w:rsidP="00106E1A">
            <w:pPr>
              <w:pStyle w:val="Standard"/>
              <w:rPr>
                <w:rFonts w:asciiTheme="minorHAnsi" w:eastAsia="Times New Roman" w:hAnsiTheme="minorHAnsi" w:cs="Arial"/>
                <w:sz w:val="22"/>
                <w:szCs w:val="22"/>
              </w:rPr>
            </w:pPr>
            <w:r>
              <w:rPr>
                <w:rFonts w:asciiTheme="minorHAnsi" w:eastAsia="Times New Roman" w:hAnsiTheme="minorHAnsi" w:cs="Arial"/>
                <w:sz w:val="22"/>
                <w:szCs w:val="22"/>
              </w:rPr>
              <w:t>B.E. / B. Tech (Computer Science)</w:t>
            </w:r>
          </w:p>
        </w:tc>
      </w:tr>
      <w:tr w:rsidR="00106E1A" w:rsidRPr="006E2FCC" w14:paraId="2820DB0B" w14:textId="77777777" w:rsidTr="00FB0A96">
        <w:trPr>
          <w:trHeight w:val="499"/>
        </w:trPr>
        <w:tc>
          <w:tcPr>
            <w:tcW w:w="2700" w:type="dxa"/>
            <w:shd w:val="clear" w:color="auto" w:fill="C9CAC8"/>
            <w:noWrap/>
            <w:vAlign w:val="center"/>
            <w:hideMark/>
          </w:tcPr>
          <w:p w14:paraId="2820DB09" w14:textId="77777777" w:rsidR="00106E1A" w:rsidRPr="006E2FCC" w:rsidRDefault="00106E1A" w:rsidP="00106E1A">
            <w:pPr>
              <w:rPr>
                <w:rFonts w:eastAsia="Times New Roman" w:cs="Arial"/>
                <w:b/>
                <w:bCs/>
              </w:rPr>
            </w:pPr>
            <w:r w:rsidRPr="006E2FCC">
              <w:rPr>
                <w:rFonts w:eastAsia="Times New Roman" w:cs="Arial"/>
                <w:b/>
                <w:bCs/>
              </w:rPr>
              <w:t>Experience</w:t>
            </w:r>
          </w:p>
        </w:tc>
        <w:tc>
          <w:tcPr>
            <w:tcW w:w="7485" w:type="dxa"/>
            <w:gridSpan w:val="4"/>
            <w:noWrap/>
            <w:vAlign w:val="center"/>
          </w:tcPr>
          <w:p w14:paraId="2820DB0A" w14:textId="60700D0F" w:rsidR="00106E1A" w:rsidRPr="006E2FCC" w:rsidRDefault="00106E1A" w:rsidP="00106E1A">
            <w:pPr>
              <w:pStyle w:val="Standard"/>
              <w:rPr>
                <w:rFonts w:asciiTheme="minorHAnsi" w:eastAsia="Times New Roman" w:hAnsiTheme="minorHAnsi" w:cs="Arial"/>
                <w:sz w:val="22"/>
                <w:szCs w:val="22"/>
              </w:rPr>
            </w:pPr>
            <w:r>
              <w:rPr>
                <w:rFonts w:asciiTheme="minorHAnsi" w:eastAsia="Times New Roman" w:hAnsiTheme="minorHAnsi" w:cs="Arial"/>
                <w:sz w:val="22"/>
                <w:szCs w:val="22"/>
              </w:rPr>
              <w:t>Nil</w:t>
            </w:r>
          </w:p>
        </w:tc>
      </w:tr>
      <w:tr w:rsidR="00106E1A" w:rsidRPr="006E2FCC" w14:paraId="2820DB0E" w14:textId="77777777" w:rsidTr="00FB0A96">
        <w:trPr>
          <w:trHeight w:val="499"/>
        </w:trPr>
        <w:tc>
          <w:tcPr>
            <w:tcW w:w="2700" w:type="dxa"/>
            <w:vMerge w:val="restart"/>
            <w:shd w:val="clear" w:color="auto" w:fill="C9CAC8"/>
            <w:noWrap/>
            <w:vAlign w:val="center"/>
            <w:hideMark/>
          </w:tcPr>
          <w:p w14:paraId="2820DB0C" w14:textId="77777777" w:rsidR="00106E1A" w:rsidRPr="006E2FCC" w:rsidRDefault="00106E1A" w:rsidP="00106E1A">
            <w:pPr>
              <w:rPr>
                <w:rFonts w:eastAsia="Times New Roman" w:cs="Arial"/>
                <w:b/>
                <w:bCs/>
              </w:rPr>
            </w:pPr>
            <w:r w:rsidRPr="006E2FCC">
              <w:rPr>
                <w:rFonts w:eastAsia="Times New Roman" w:cs="Arial"/>
                <w:b/>
                <w:bCs/>
                <w:color w:val="000000" w:themeColor="text1"/>
              </w:rPr>
              <w:t>Functional Competencies</w:t>
            </w:r>
          </w:p>
        </w:tc>
        <w:tc>
          <w:tcPr>
            <w:tcW w:w="7485" w:type="dxa"/>
            <w:gridSpan w:val="4"/>
            <w:noWrap/>
            <w:vAlign w:val="center"/>
          </w:tcPr>
          <w:p w14:paraId="2820DB0D" w14:textId="3C91A9DF" w:rsidR="00106E1A" w:rsidRPr="006E2FCC" w:rsidRDefault="00106E1A" w:rsidP="00106E1A">
            <w:pPr>
              <w:rPr>
                <w:rFonts w:eastAsia="Calibri" w:cs="Calibri"/>
              </w:rPr>
            </w:pPr>
            <w:r w:rsidRPr="00785A04">
              <w:rPr>
                <w:rFonts w:eastAsia="Calibri" w:cs="Calibri"/>
              </w:rPr>
              <w:t xml:space="preserve">Strong quantitative, </w:t>
            </w:r>
            <w:proofErr w:type="gramStart"/>
            <w:r w:rsidRPr="00785A04">
              <w:rPr>
                <w:rFonts w:eastAsia="Calibri" w:cs="Calibri"/>
              </w:rPr>
              <w:t>analytical</w:t>
            </w:r>
            <w:proofErr w:type="gramEnd"/>
            <w:r w:rsidRPr="00785A04">
              <w:rPr>
                <w:rFonts w:eastAsia="Calibri" w:cs="Calibri"/>
              </w:rPr>
              <w:t xml:space="preserve"> and problem</w:t>
            </w:r>
            <w:r w:rsidR="003C0C50">
              <w:rPr>
                <w:rFonts w:eastAsia="Calibri" w:cs="Calibri"/>
              </w:rPr>
              <w:t>-</w:t>
            </w:r>
            <w:r w:rsidRPr="00785A04">
              <w:rPr>
                <w:rFonts w:eastAsia="Calibri" w:cs="Calibri"/>
              </w:rPr>
              <w:t>solving skills</w:t>
            </w:r>
            <w:r w:rsidR="004E1769">
              <w:rPr>
                <w:rFonts w:eastAsia="Calibri" w:cs="Calibri"/>
              </w:rPr>
              <w:t xml:space="preserve"> (algorithms)</w:t>
            </w:r>
          </w:p>
        </w:tc>
      </w:tr>
      <w:tr w:rsidR="00106E1A" w:rsidRPr="006E2FCC" w14:paraId="2820DB14" w14:textId="77777777" w:rsidTr="00FB0A96">
        <w:trPr>
          <w:trHeight w:val="499"/>
        </w:trPr>
        <w:tc>
          <w:tcPr>
            <w:tcW w:w="2700" w:type="dxa"/>
            <w:vMerge/>
            <w:shd w:val="clear" w:color="auto" w:fill="C9CAC8"/>
            <w:noWrap/>
            <w:vAlign w:val="center"/>
          </w:tcPr>
          <w:p w14:paraId="2820DB12" w14:textId="77777777" w:rsidR="00106E1A" w:rsidRPr="006E2FCC" w:rsidRDefault="00106E1A" w:rsidP="00106E1A">
            <w:pPr>
              <w:rPr>
                <w:rFonts w:eastAsia="Times New Roman" w:cs="Arial"/>
                <w:b/>
                <w:bCs/>
                <w:color w:val="000000" w:themeColor="text1"/>
              </w:rPr>
            </w:pPr>
          </w:p>
        </w:tc>
        <w:tc>
          <w:tcPr>
            <w:tcW w:w="7485" w:type="dxa"/>
            <w:gridSpan w:val="4"/>
            <w:noWrap/>
            <w:vAlign w:val="center"/>
          </w:tcPr>
          <w:p w14:paraId="2820DB13" w14:textId="77777777" w:rsidR="00106E1A" w:rsidRPr="006E2FCC" w:rsidRDefault="00106E1A" w:rsidP="00106E1A">
            <w:pPr>
              <w:rPr>
                <w:rFonts w:eastAsia="Calibri" w:cs="Calibri"/>
              </w:rPr>
            </w:pPr>
            <w:r w:rsidRPr="006E4755">
              <w:rPr>
                <w:rFonts w:eastAsia="Calibri" w:cs="Calibri"/>
              </w:rPr>
              <w:t>Ability to handle large amount of data and complexity</w:t>
            </w:r>
          </w:p>
        </w:tc>
      </w:tr>
      <w:tr w:rsidR="00106E1A" w:rsidRPr="006E2FCC" w14:paraId="5AF130B6" w14:textId="77777777" w:rsidTr="00FB0A96">
        <w:trPr>
          <w:trHeight w:val="499"/>
        </w:trPr>
        <w:tc>
          <w:tcPr>
            <w:tcW w:w="2700" w:type="dxa"/>
            <w:vMerge/>
            <w:shd w:val="clear" w:color="auto" w:fill="C9CAC8"/>
            <w:noWrap/>
            <w:vAlign w:val="center"/>
          </w:tcPr>
          <w:p w14:paraId="13158EA4" w14:textId="77777777" w:rsidR="00106E1A" w:rsidRPr="006E2FCC" w:rsidRDefault="00106E1A" w:rsidP="00106E1A">
            <w:pPr>
              <w:rPr>
                <w:rFonts w:eastAsia="Times New Roman" w:cs="Arial"/>
                <w:b/>
                <w:bCs/>
                <w:color w:val="000000" w:themeColor="text1"/>
              </w:rPr>
            </w:pPr>
          </w:p>
        </w:tc>
        <w:tc>
          <w:tcPr>
            <w:tcW w:w="7485" w:type="dxa"/>
            <w:gridSpan w:val="4"/>
            <w:noWrap/>
            <w:vAlign w:val="center"/>
          </w:tcPr>
          <w:p w14:paraId="3D0DF15C" w14:textId="1C2412F8" w:rsidR="00106E1A" w:rsidRDefault="004D7F61" w:rsidP="00106E1A">
            <w:pPr>
              <w:rPr>
                <w:rFonts w:eastAsia="Calibri" w:cs="Calibri"/>
              </w:rPr>
            </w:pPr>
            <w:r>
              <w:rPr>
                <w:rFonts w:eastAsia="Calibri" w:cs="Calibri"/>
              </w:rPr>
              <w:t xml:space="preserve">Familiarity with </w:t>
            </w:r>
            <w:r w:rsidR="00106E1A" w:rsidRPr="00106E1A">
              <w:rPr>
                <w:rFonts w:eastAsia="Calibri" w:cs="Calibri"/>
              </w:rPr>
              <w:t>Java/OOPs concepts</w:t>
            </w:r>
            <w:r w:rsidR="00586F16">
              <w:rPr>
                <w:rFonts w:eastAsia="Calibri" w:cs="Calibri"/>
              </w:rPr>
              <w:t xml:space="preserve"> and</w:t>
            </w:r>
            <w:r w:rsidR="00106E1A" w:rsidRPr="00106E1A">
              <w:rPr>
                <w:rFonts w:eastAsia="Calibri" w:cs="Calibri"/>
              </w:rPr>
              <w:t xml:space="preserve"> data structures</w:t>
            </w:r>
          </w:p>
        </w:tc>
      </w:tr>
      <w:tr w:rsidR="00106E1A" w:rsidRPr="006E2FCC" w14:paraId="2820DB1A" w14:textId="77777777" w:rsidTr="006E2FCC">
        <w:trPr>
          <w:trHeight w:val="732"/>
        </w:trPr>
        <w:tc>
          <w:tcPr>
            <w:tcW w:w="2700" w:type="dxa"/>
            <w:vMerge w:val="restart"/>
            <w:shd w:val="clear" w:color="auto" w:fill="C9CAC8"/>
            <w:noWrap/>
            <w:vAlign w:val="center"/>
          </w:tcPr>
          <w:p w14:paraId="2820DB18" w14:textId="77777777" w:rsidR="00106E1A" w:rsidRPr="006E2FCC" w:rsidRDefault="00106E1A" w:rsidP="00106E1A">
            <w:pPr>
              <w:rPr>
                <w:rFonts w:eastAsia="Times New Roman" w:cs="Arial"/>
                <w:b/>
                <w:bCs/>
              </w:rPr>
            </w:pPr>
            <w:r w:rsidRPr="006E2FCC">
              <w:rPr>
                <w:rFonts w:eastAsia="Times New Roman" w:cs="Arial"/>
                <w:b/>
                <w:bCs/>
              </w:rPr>
              <w:t>Behavioral Competencies</w:t>
            </w:r>
          </w:p>
        </w:tc>
        <w:tc>
          <w:tcPr>
            <w:tcW w:w="7485" w:type="dxa"/>
            <w:gridSpan w:val="4"/>
            <w:noWrap/>
            <w:vAlign w:val="center"/>
          </w:tcPr>
          <w:p w14:paraId="2820DB19" w14:textId="28A7FCB9" w:rsidR="00106E1A" w:rsidRPr="006E2FCC" w:rsidRDefault="00227990" w:rsidP="00106E1A">
            <w:pPr>
              <w:rPr>
                <w:rFonts w:eastAsia="Calibri" w:cs="Calibri"/>
              </w:rPr>
            </w:pPr>
            <w:r>
              <w:rPr>
                <w:rFonts w:eastAsia="Calibri" w:cs="Calibri"/>
              </w:rPr>
              <w:t>C</w:t>
            </w:r>
            <w:r w:rsidR="00106E1A" w:rsidRPr="00106E1A">
              <w:rPr>
                <w:rFonts w:eastAsia="Calibri" w:cs="Calibri"/>
              </w:rPr>
              <w:t xml:space="preserve">omfort in </w:t>
            </w:r>
            <w:r>
              <w:rPr>
                <w:rFonts w:eastAsia="Calibri" w:cs="Calibri"/>
              </w:rPr>
              <w:t xml:space="preserve">working across </w:t>
            </w:r>
            <w:r w:rsidR="00106E1A" w:rsidRPr="00106E1A">
              <w:rPr>
                <w:rFonts w:eastAsia="Calibri" w:cs="Calibri"/>
              </w:rPr>
              <w:t>both Windows and Linux</w:t>
            </w:r>
          </w:p>
        </w:tc>
      </w:tr>
      <w:tr w:rsidR="00106E1A" w:rsidRPr="006E2FCC" w14:paraId="2820DB1D" w14:textId="77777777" w:rsidTr="006E2FCC">
        <w:trPr>
          <w:trHeight w:val="732"/>
        </w:trPr>
        <w:tc>
          <w:tcPr>
            <w:tcW w:w="2700" w:type="dxa"/>
            <w:vMerge/>
            <w:shd w:val="clear" w:color="auto" w:fill="C9CAC8"/>
            <w:noWrap/>
            <w:vAlign w:val="center"/>
          </w:tcPr>
          <w:p w14:paraId="2820DB1B" w14:textId="77777777" w:rsidR="00106E1A" w:rsidRPr="006E2FCC" w:rsidRDefault="00106E1A" w:rsidP="00106E1A">
            <w:pPr>
              <w:rPr>
                <w:rFonts w:eastAsia="Times New Roman" w:cs="Arial"/>
                <w:b/>
                <w:bCs/>
              </w:rPr>
            </w:pPr>
          </w:p>
        </w:tc>
        <w:tc>
          <w:tcPr>
            <w:tcW w:w="7485" w:type="dxa"/>
            <w:gridSpan w:val="4"/>
            <w:noWrap/>
            <w:vAlign w:val="center"/>
          </w:tcPr>
          <w:p w14:paraId="2820DB1C" w14:textId="71A6A2AF" w:rsidR="00106E1A" w:rsidRPr="006E4755" w:rsidRDefault="00106E1A" w:rsidP="00106E1A">
            <w:pPr>
              <w:rPr>
                <w:rFonts w:eastAsia="Calibri" w:cs="Calibri"/>
              </w:rPr>
            </w:pPr>
            <w:r w:rsidRPr="00106E1A">
              <w:rPr>
                <w:rFonts w:eastAsia="Calibri" w:cs="Calibri"/>
              </w:rPr>
              <w:t xml:space="preserve">Applying mathematical and programming concepts to </w:t>
            </w:r>
            <w:r w:rsidR="00106D1C">
              <w:rPr>
                <w:rFonts w:eastAsia="Calibri" w:cs="Calibri"/>
              </w:rPr>
              <w:t xml:space="preserve">business cases (specifically </w:t>
            </w:r>
            <w:r w:rsidRPr="00106E1A">
              <w:rPr>
                <w:rFonts w:eastAsia="Calibri" w:cs="Calibri"/>
              </w:rPr>
              <w:t>basic statistical arbitrage</w:t>
            </w:r>
            <w:r w:rsidR="00106D1C">
              <w:rPr>
                <w:rFonts w:eastAsia="Calibri" w:cs="Calibri"/>
              </w:rPr>
              <w:t>, which can be learned on the job)</w:t>
            </w:r>
          </w:p>
        </w:tc>
      </w:tr>
      <w:tr w:rsidR="00106E1A" w:rsidRPr="006E2FCC" w14:paraId="2820DB20" w14:textId="77777777" w:rsidTr="006E2FCC">
        <w:trPr>
          <w:trHeight w:val="732"/>
        </w:trPr>
        <w:tc>
          <w:tcPr>
            <w:tcW w:w="2700" w:type="dxa"/>
            <w:vMerge/>
            <w:shd w:val="clear" w:color="auto" w:fill="C9CAC8"/>
            <w:noWrap/>
            <w:vAlign w:val="center"/>
          </w:tcPr>
          <w:p w14:paraId="2820DB1E" w14:textId="77777777" w:rsidR="00106E1A" w:rsidRPr="006E2FCC" w:rsidRDefault="00106E1A" w:rsidP="00106E1A">
            <w:pPr>
              <w:rPr>
                <w:rFonts w:eastAsia="Times New Roman" w:cs="Arial"/>
                <w:b/>
                <w:bCs/>
              </w:rPr>
            </w:pPr>
          </w:p>
        </w:tc>
        <w:tc>
          <w:tcPr>
            <w:tcW w:w="7485" w:type="dxa"/>
            <w:gridSpan w:val="4"/>
            <w:noWrap/>
            <w:vAlign w:val="center"/>
          </w:tcPr>
          <w:p w14:paraId="2820DB1F" w14:textId="77777777" w:rsidR="00106E1A" w:rsidRDefault="00106E1A" w:rsidP="00106E1A">
            <w:pPr>
              <w:rPr>
                <w:rFonts w:eastAsia="Calibri" w:cs="Calibri"/>
              </w:rPr>
            </w:pPr>
            <w:r>
              <w:rPr>
                <w:rFonts w:eastAsia="Calibri" w:cs="Calibri"/>
              </w:rPr>
              <w:t>Managing a certain amount of ambiguity</w:t>
            </w:r>
          </w:p>
        </w:tc>
      </w:tr>
      <w:tr w:rsidR="00B56A58" w:rsidRPr="006E2FCC" w14:paraId="2C97564F" w14:textId="77777777" w:rsidTr="006E2FCC">
        <w:trPr>
          <w:trHeight w:val="732"/>
        </w:trPr>
        <w:tc>
          <w:tcPr>
            <w:tcW w:w="2700" w:type="dxa"/>
            <w:vMerge/>
            <w:shd w:val="clear" w:color="auto" w:fill="C9CAC8"/>
            <w:noWrap/>
            <w:vAlign w:val="center"/>
          </w:tcPr>
          <w:p w14:paraId="7E44589F" w14:textId="77777777" w:rsidR="00B56A58" w:rsidRPr="006E2FCC" w:rsidRDefault="00B56A58" w:rsidP="00106E1A">
            <w:pPr>
              <w:rPr>
                <w:rFonts w:eastAsia="Times New Roman" w:cs="Arial"/>
                <w:b/>
                <w:bCs/>
              </w:rPr>
            </w:pPr>
          </w:p>
        </w:tc>
        <w:tc>
          <w:tcPr>
            <w:tcW w:w="7485" w:type="dxa"/>
            <w:gridSpan w:val="4"/>
            <w:noWrap/>
            <w:vAlign w:val="center"/>
          </w:tcPr>
          <w:p w14:paraId="1F08B869" w14:textId="28D036EB" w:rsidR="00B56A58" w:rsidRDefault="00B56A58" w:rsidP="00106E1A">
            <w:pPr>
              <w:rPr>
                <w:rFonts w:eastAsia="Calibri" w:cs="Calibri"/>
              </w:rPr>
            </w:pPr>
            <w:r w:rsidRPr="00B56A58">
              <w:rPr>
                <w:rFonts w:eastAsia="Calibri" w:cs="Calibri"/>
              </w:rPr>
              <w:t>Interest in financial markets and trading</w:t>
            </w:r>
            <w:r w:rsidR="00227990">
              <w:rPr>
                <w:rFonts w:eastAsia="Calibri" w:cs="Calibri"/>
              </w:rPr>
              <w:t xml:space="preserve"> / fund management</w:t>
            </w:r>
          </w:p>
        </w:tc>
      </w:tr>
      <w:tr w:rsidR="00106E1A" w:rsidRPr="006E2FCC" w14:paraId="2820DB23" w14:textId="77777777" w:rsidTr="006E2FCC">
        <w:trPr>
          <w:trHeight w:val="732"/>
        </w:trPr>
        <w:tc>
          <w:tcPr>
            <w:tcW w:w="2700" w:type="dxa"/>
            <w:vMerge/>
            <w:shd w:val="clear" w:color="auto" w:fill="C9CAC8"/>
            <w:noWrap/>
            <w:vAlign w:val="center"/>
          </w:tcPr>
          <w:p w14:paraId="2820DB21" w14:textId="77777777" w:rsidR="00106E1A" w:rsidRPr="006E2FCC" w:rsidRDefault="00106E1A" w:rsidP="00106E1A">
            <w:pPr>
              <w:rPr>
                <w:rFonts w:eastAsia="Times New Roman" w:cs="Arial"/>
                <w:b/>
                <w:bCs/>
              </w:rPr>
            </w:pPr>
          </w:p>
        </w:tc>
        <w:tc>
          <w:tcPr>
            <w:tcW w:w="7485" w:type="dxa"/>
            <w:gridSpan w:val="4"/>
            <w:noWrap/>
            <w:vAlign w:val="center"/>
          </w:tcPr>
          <w:p w14:paraId="2820DB22" w14:textId="77777777" w:rsidR="00106E1A" w:rsidRPr="006E4755" w:rsidRDefault="00106E1A" w:rsidP="00106E1A">
            <w:pPr>
              <w:rPr>
                <w:rFonts w:eastAsia="Calibri" w:cs="Calibri"/>
              </w:rPr>
            </w:pPr>
            <w:r>
              <w:rPr>
                <w:rFonts w:eastAsia="Calibri" w:cs="Calibri"/>
              </w:rPr>
              <w:t>Ability to work in small teams and demonstrate leadership</w:t>
            </w:r>
          </w:p>
        </w:tc>
      </w:tr>
      <w:tr w:rsidR="00106E1A" w:rsidRPr="006E2FCC" w14:paraId="2820DB25" w14:textId="77777777" w:rsidTr="00FB0A96">
        <w:trPr>
          <w:trHeight w:val="499"/>
        </w:trPr>
        <w:tc>
          <w:tcPr>
            <w:tcW w:w="10185" w:type="dxa"/>
            <w:gridSpan w:val="5"/>
            <w:shd w:val="clear" w:color="auto" w:fill="4D4F53"/>
            <w:noWrap/>
            <w:vAlign w:val="center"/>
            <w:hideMark/>
          </w:tcPr>
          <w:p w14:paraId="2820DB24" w14:textId="523FD83B" w:rsidR="00106E1A" w:rsidRPr="006E2FCC" w:rsidRDefault="00106E1A" w:rsidP="00106E1A">
            <w:pPr>
              <w:jc w:val="center"/>
              <w:rPr>
                <w:rFonts w:eastAsia="Times New Roman" w:cs="Arial"/>
                <w:b/>
                <w:bCs/>
                <w:color w:val="FFFFFF" w:themeColor="background1"/>
              </w:rPr>
            </w:pPr>
            <w:r w:rsidRPr="006E2FCC">
              <w:rPr>
                <w:rFonts w:eastAsia="Times New Roman" w:cs="Arial"/>
                <w:b/>
                <w:bCs/>
                <w:color w:val="FFFFFF" w:themeColor="background1"/>
              </w:rPr>
              <w:t>Key Interactions</w:t>
            </w:r>
          </w:p>
        </w:tc>
      </w:tr>
      <w:tr w:rsidR="00106E1A" w:rsidRPr="006E2FCC" w14:paraId="2820DB28" w14:textId="77777777" w:rsidTr="00FB0A96">
        <w:trPr>
          <w:trHeight w:val="499"/>
        </w:trPr>
        <w:tc>
          <w:tcPr>
            <w:tcW w:w="3708" w:type="dxa"/>
            <w:gridSpan w:val="2"/>
            <w:shd w:val="clear" w:color="auto" w:fill="C9CAC8"/>
            <w:noWrap/>
            <w:vAlign w:val="center"/>
            <w:hideMark/>
          </w:tcPr>
          <w:p w14:paraId="2820DB26" w14:textId="77777777" w:rsidR="00106E1A" w:rsidRPr="006E2FCC" w:rsidRDefault="00106E1A" w:rsidP="00106E1A">
            <w:pPr>
              <w:jc w:val="center"/>
              <w:rPr>
                <w:rFonts w:eastAsia="Calibri" w:cs="Calibri"/>
              </w:rPr>
            </w:pPr>
            <w:r w:rsidRPr="006E2FCC">
              <w:rPr>
                <w:rFonts w:eastAsia="Calibri" w:cs="Calibri"/>
                <w:b/>
              </w:rPr>
              <w:t>Internal</w:t>
            </w:r>
          </w:p>
        </w:tc>
        <w:tc>
          <w:tcPr>
            <w:tcW w:w="6477" w:type="dxa"/>
            <w:gridSpan w:val="3"/>
            <w:shd w:val="clear" w:color="auto" w:fill="C9CAC8"/>
            <w:noWrap/>
            <w:vAlign w:val="center"/>
            <w:hideMark/>
          </w:tcPr>
          <w:p w14:paraId="2820DB27" w14:textId="77777777" w:rsidR="00106E1A" w:rsidRPr="006E2FCC" w:rsidRDefault="00106E1A" w:rsidP="00106E1A">
            <w:pPr>
              <w:jc w:val="center"/>
              <w:rPr>
                <w:rFonts w:eastAsia="Calibri" w:cs="Calibri"/>
              </w:rPr>
            </w:pPr>
            <w:r w:rsidRPr="006E2FCC">
              <w:rPr>
                <w:rFonts w:eastAsia="Calibri" w:cs="Calibri"/>
                <w:b/>
              </w:rPr>
              <w:t>Nature or purpose of interaction</w:t>
            </w:r>
          </w:p>
        </w:tc>
      </w:tr>
      <w:tr w:rsidR="00106E1A" w:rsidRPr="006E2FCC" w14:paraId="2820DB2B" w14:textId="77777777" w:rsidTr="00CF3C97">
        <w:trPr>
          <w:trHeight w:val="713"/>
        </w:trPr>
        <w:tc>
          <w:tcPr>
            <w:tcW w:w="3708" w:type="dxa"/>
            <w:gridSpan w:val="2"/>
            <w:vAlign w:val="center"/>
          </w:tcPr>
          <w:p w14:paraId="2820DB29" w14:textId="77777777" w:rsidR="00106E1A" w:rsidRPr="006E2FCC" w:rsidRDefault="00106E1A" w:rsidP="00106E1A">
            <w:pPr>
              <w:rPr>
                <w:rFonts w:eastAsia="Calibri" w:cs="Calibri"/>
                <w:b/>
              </w:rPr>
            </w:pPr>
            <w:r w:rsidRPr="006E2FCC">
              <w:rPr>
                <w:rFonts w:eastAsia="Calibri" w:cs="Calibri"/>
                <w:b/>
              </w:rPr>
              <w:t>Trading Team</w:t>
            </w:r>
          </w:p>
        </w:tc>
        <w:tc>
          <w:tcPr>
            <w:tcW w:w="6477" w:type="dxa"/>
            <w:gridSpan w:val="3"/>
            <w:vAlign w:val="center"/>
          </w:tcPr>
          <w:p w14:paraId="2820DB2A" w14:textId="33BFE240" w:rsidR="00106E1A" w:rsidRPr="006E2FCC" w:rsidRDefault="00CF3C97" w:rsidP="00CF3C97">
            <w:pPr>
              <w:rPr>
                <w:rFonts w:eastAsia="Calibri" w:cs="Calibri"/>
              </w:rPr>
            </w:pPr>
            <w:r>
              <w:rPr>
                <w:rFonts w:eastAsia="Calibri" w:cs="Calibri"/>
              </w:rPr>
              <w:t>Learning the ropes and later implementing systemic strategies for your own trading book</w:t>
            </w:r>
          </w:p>
        </w:tc>
      </w:tr>
      <w:tr w:rsidR="00106E1A" w:rsidRPr="006E2FCC" w14:paraId="2820DB2E" w14:textId="77777777" w:rsidTr="00CF3C97">
        <w:trPr>
          <w:trHeight w:val="695"/>
        </w:trPr>
        <w:tc>
          <w:tcPr>
            <w:tcW w:w="3708" w:type="dxa"/>
            <w:gridSpan w:val="2"/>
            <w:vAlign w:val="center"/>
          </w:tcPr>
          <w:p w14:paraId="2820DB2C" w14:textId="066DBA66" w:rsidR="00106E1A" w:rsidRPr="006E2FCC" w:rsidRDefault="00CF3C97" w:rsidP="00106E1A">
            <w:pPr>
              <w:rPr>
                <w:rFonts w:eastAsia="Calibri" w:cs="Calibri"/>
                <w:b/>
              </w:rPr>
            </w:pPr>
            <w:r>
              <w:rPr>
                <w:rFonts w:eastAsia="Calibri" w:cs="Calibri"/>
                <w:b/>
              </w:rPr>
              <w:t>Development Team</w:t>
            </w:r>
          </w:p>
        </w:tc>
        <w:tc>
          <w:tcPr>
            <w:tcW w:w="6477" w:type="dxa"/>
            <w:gridSpan w:val="3"/>
            <w:vAlign w:val="center"/>
          </w:tcPr>
          <w:p w14:paraId="2820DB2D" w14:textId="4079456A" w:rsidR="00106E1A" w:rsidRPr="006E2FCC" w:rsidRDefault="00CF3C97" w:rsidP="00CF3C97">
            <w:pPr>
              <w:rPr>
                <w:rFonts w:eastAsia="Calibri" w:cs="Calibri"/>
              </w:rPr>
            </w:pPr>
            <w:r>
              <w:rPr>
                <w:rFonts w:eastAsia="Calibri" w:cs="Calibri"/>
              </w:rPr>
              <w:t>Bridging or interfacing between the business (design) side and the development (code writing) side</w:t>
            </w:r>
          </w:p>
        </w:tc>
      </w:tr>
    </w:tbl>
    <w:p w14:paraId="2820DB36" w14:textId="77777777" w:rsidR="00C470F7" w:rsidRPr="00F4674E" w:rsidRDefault="00C470F7" w:rsidP="00C470F7">
      <w:pPr>
        <w:rPr>
          <w:sz w:val="24"/>
          <w:szCs w:val="24"/>
        </w:rPr>
      </w:pPr>
    </w:p>
    <w:p w14:paraId="2820DB3D" w14:textId="77777777" w:rsidR="00CA37E1" w:rsidRPr="006E2FCC" w:rsidRDefault="00CA37E1" w:rsidP="00E11B33"/>
    <w:sectPr w:rsidR="00CA37E1" w:rsidRPr="006E2FCC" w:rsidSect="006A329E">
      <w:headerReference w:type="default" r:id="rId7"/>
      <w:footerReference w:type="default" r:id="rId8"/>
      <w:pgSz w:w="11907" w:h="16839" w:code="9"/>
      <w:pgMar w:top="999" w:right="1080" w:bottom="1440" w:left="1080" w:header="180" w:footer="1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0DB40" w14:textId="77777777" w:rsidR="005D7832" w:rsidRDefault="005D7832" w:rsidP="009E6D91">
      <w:pPr>
        <w:spacing w:after="0" w:line="240" w:lineRule="auto"/>
      </w:pPr>
      <w:r>
        <w:separator/>
      </w:r>
    </w:p>
  </w:endnote>
  <w:endnote w:type="continuationSeparator" w:id="0">
    <w:p w14:paraId="2820DB41" w14:textId="77777777" w:rsidR="005D7832" w:rsidRDefault="005D7832" w:rsidP="009E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0DB43" w14:textId="77777777" w:rsidR="0022361D" w:rsidRDefault="0022361D">
    <w:pPr>
      <w:pStyle w:val="Footer"/>
    </w:pPr>
  </w:p>
  <w:p w14:paraId="2820DB44" w14:textId="77777777" w:rsidR="0022361D" w:rsidRDefault="0022361D" w:rsidP="006A329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0DB3E" w14:textId="77777777" w:rsidR="005D7832" w:rsidRDefault="005D7832" w:rsidP="009E6D91">
      <w:pPr>
        <w:spacing w:after="0" w:line="240" w:lineRule="auto"/>
      </w:pPr>
      <w:r>
        <w:separator/>
      </w:r>
    </w:p>
  </w:footnote>
  <w:footnote w:type="continuationSeparator" w:id="0">
    <w:p w14:paraId="2820DB3F" w14:textId="77777777" w:rsidR="005D7832" w:rsidRDefault="005D7832" w:rsidP="009E6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0DB42" w14:textId="77777777" w:rsidR="0022361D" w:rsidRDefault="0022361D" w:rsidP="00CA37E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1A74"/>
    <w:multiLevelType w:val="hybridMultilevel"/>
    <w:tmpl w:val="255A6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B11DA"/>
    <w:multiLevelType w:val="hybridMultilevel"/>
    <w:tmpl w:val="29342208"/>
    <w:lvl w:ilvl="0" w:tplc="E80221A0">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20406F"/>
    <w:multiLevelType w:val="multilevel"/>
    <w:tmpl w:val="4F32B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F168CD"/>
    <w:multiLevelType w:val="hybridMultilevel"/>
    <w:tmpl w:val="7F869A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AD95D89"/>
    <w:multiLevelType w:val="hybridMultilevel"/>
    <w:tmpl w:val="18BE93F0"/>
    <w:lvl w:ilvl="0" w:tplc="D5CCADB8">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517AD1"/>
    <w:multiLevelType w:val="hybridMultilevel"/>
    <w:tmpl w:val="01B4D2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20C1903"/>
    <w:multiLevelType w:val="multilevel"/>
    <w:tmpl w:val="78D403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3222E0C"/>
    <w:multiLevelType w:val="multilevel"/>
    <w:tmpl w:val="63AC4C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3770200"/>
    <w:multiLevelType w:val="hybridMultilevel"/>
    <w:tmpl w:val="CB3EB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B86FD7"/>
    <w:multiLevelType w:val="hybridMultilevel"/>
    <w:tmpl w:val="B8148B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BFE10E0"/>
    <w:multiLevelType w:val="hybridMultilevel"/>
    <w:tmpl w:val="2E5CD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FA3562"/>
    <w:multiLevelType w:val="multilevel"/>
    <w:tmpl w:val="779653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2D75AE7"/>
    <w:multiLevelType w:val="hybridMultilevel"/>
    <w:tmpl w:val="30801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D8535F"/>
    <w:multiLevelType w:val="hybridMultilevel"/>
    <w:tmpl w:val="F45883D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8B7525"/>
    <w:multiLevelType w:val="hybridMultilevel"/>
    <w:tmpl w:val="BB30C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2740B"/>
    <w:multiLevelType w:val="hybridMultilevel"/>
    <w:tmpl w:val="4D8A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51010"/>
    <w:multiLevelType w:val="hybridMultilevel"/>
    <w:tmpl w:val="C2748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952975"/>
    <w:multiLevelType w:val="multilevel"/>
    <w:tmpl w:val="3E4AF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5F12D3D"/>
    <w:multiLevelType w:val="multilevel"/>
    <w:tmpl w:val="547A28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A423019"/>
    <w:multiLevelType w:val="hybridMultilevel"/>
    <w:tmpl w:val="D06E9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8331C0"/>
    <w:multiLevelType w:val="hybridMultilevel"/>
    <w:tmpl w:val="BBB2177C"/>
    <w:lvl w:ilvl="0" w:tplc="F69092E8">
      <w:start w:val="1"/>
      <w:numFmt w:val="upp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72E40"/>
    <w:multiLevelType w:val="hybridMultilevel"/>
    <w:tmpl w:val="2344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24EC6"/>
    <w:multiLevelType w:val="multilevel"/>
    <w:tmpl w:val="8D965D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47156E5"/>
    <w:multiLevelType w:val="multilevel"/>
    <w:tmpl w:val="B18AA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DB7384D"/>
    <w:multiLevelType w:val="hybridMultilevel"/>
    <w:tmpl w:val="53DC85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D50A55"/>
    <w:multiLevelType w:val="hybridMultilevel"/>
    <w:tmpl w:val="B50C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A20CC5"/>
    <w:multiLevelType w:val="multilevel"/>
    <w:tmpl w:val="112895B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2A838EC"/>
    <w:multiLevelType w:val="hybridMultilevel"/>
    <w:tmpl w:val="F738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542DB5"/>
    <w:multiLevelType w:val="hybridMultilevel"/>
    <w:tmpl w:val="27EE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2C7215"/>
    <w:multiLevelType w:val="hybridMultilevel"/>
    <w:tmpl w:val="ED56BD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2C0FEE"/>
    <w:multiLevelType w:val="multilevel"/>
    <w:tmpl w:val="B6148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B16253C"/>
    <w:multiLevelType w:val="multilevel"/>
    <w:tmpl w:val="638663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47767D4"/>
    <w:multiLevelType w:val="hybridMultilevel"/>
    <w:tmpl w:val="E852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2B1A34"/>
    <w:multiLevelType w:val="hybridMultilevel"/>
    <w:tmpl w:val="BA980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EA41B9"/>
    <w:multiLevelType w:val="hybridMultilevel"/>
    <w:tmpl w:val="8D521DD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C42607A"/>
    <w:multiLevelType w:val="hybridMultilevel"/>
    <w:tmpl w:val="F9FCD794"/>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912B5C"/>
    <w:multiLevelType w:val="hybridMultilevel"/>
    <w:tmpl w:val="3CDC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1"/>
  </w:num>
  <w:num w:numId="4">
    <w:abstractNumId w:val="14"/>
  </w:num>
  <w:num w:numId="5">
    <w:abstractNumId w:val="33"/>
  </w:num>
  <w:num w:numId="6">
    <w:abstractNumId w:val="19"/>
  </w:num>
  <w:num w:numId="7">
    <w:abstractNumId w:val="24"/>
  </w:num>
  <w:num w:numId="8">
    <w:abstractNumId w:val="20"/>
  </w:num>
  <w:num w:numId="9">
    <w:abstractNumId w:val="36"/>
  </w:num>
  <w:num w:numId="10">
    <w:abstractNumId w:val="10"/>
  </w:num>
  <w:num w:numId="11">
    <w:abstractNumId w:val="16"/>
  </w:num>
  <w:num w:numId="12">
    <w:abstractNumId w:val="35"/>
  </w:num>
  <w:num w:numId="13">
    <w:abstractNumId w:val="21"/>
  </w:num>
  <w:num w:numId="14">
    <w:abstractNumId w:val="34"/>
  </w:num>
  <w:num w:numId="15">
    <w:abstractNumId w:val="15"/>
  </w:num>
  <w:num w:numId="16">
    <w:abstractNumId w:val="0"/>
  </w:num>
  <w:num w:numId="17">
    <w:abstractNumId w:val="25"/>
  </w:num>
  <w:num w:numId="18">
    <w:abstractNumId w:val="28"/>
  </w:num>
  <w:num w:numId="19">
    <w:abstractNumId w:val="32"/>
  </w:num>
  <w:num w:numId="20">
    <w:abstractNumId w:val="27"/>
  </w:num>
  <w:num w:numId="21">
    <w:abstractNumId w:val="8"/>
  </w:num>
  <w:num w:numId="22">
    <w:abstractNumId w:val="5"/>
  </w:num>
  <w:num w:numId="23">
    <w:abstractNumId w:val="18"/>
  </w:num>
  <w:num w:numId="24">
    <w:abstractNumId w:val="6"/>
  </w:num>
  <w:num w:numId="25">
    <w:abstractNumId w:val="11"/>
  </w:num>
  <w:num w:numId="26">
    <w:abstractNumId w:val="9"/>
  </w:num>
  <w:num w:numId="27">
    <w:abstractNumId w:val="23"/>
  </w:num>
  <w:num w:numId="28">
    <w:abstractNumId w:val="26"/>
  </w:num>
  <w:num w:numId="29">
    <w:abstractNumId w:val="2"/>
  </w:num>
  <w:num w:numId="30">
    <w:abstractNumId w:val="7"/>
  </w:num>
  <w:num w:numId="31">
    <w:abstractNumId w:val="17"/>
  </w:num>
  <w:num w:numId="32">
    <w:abstractNumId w:val="22"/>
  </w:num>
  <w:num w:numId="33">
    <w:abstractNumId w:val="31"/>
  </w:num>
  <w:num w:numId="34">
    <w:abstractNumId w:val="30"/>
  </w:num>
  <w:num w:numId="35">
    <w:abstractNumId w:val="12"/>
  </w:num>
  <w:num w:numId="36">
    <w:abstractNumId w:val="4"/>
  </w:num>
  <w:num w:numId="3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6"/>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11A"/>
    <w:rsid w:val="00017ABE"/>
    <w:rsid w:val="00026A40"/>
    <w:rsid w:val="00027A3D"/>
    <w:rsid w:val="000307EA"/>
    <w:rsid w:val="00043F2A"/>
    <w:rsid w:val="000442EC"/>
    <w:rsid w:val="00047FAB"/>
    <w:rsid w:val="000605F2"/>
    <w:rsid w:val="00073036"/>
    <w:rsid w:val="00093592"/>
    <w:rsid w:val="00093604"/>
    <w:rsid w:val="000942EA"/>
    <w:rsid w:val="000A3FD9"/>
    <w:rsid w:val="000A6A2E"/>
    <w:rsid w:val="000C2879"/>
    <w:rsid w:val="000C4ED8"/>
    <w:rsid w:val="000D4B25"/>
    <w:rsid w:val="000D5494"/>
    <w:rsid w:val="000F5BAF"/>
    <w:rsid w:val="00106D1C"/>
    <w:rsid w:val="00106E1A"/>
    <w:rsid w:val="0010747C"/>
    <w:rsid w:val="00110AD1"/>
    <w:rsid w:val="00115D0B"/>
    <w:rsid w:val="001222B1"/>
    <w:rsid w:val="001256F8"/>
    <w:rsid w:val="0012726D"/>
    <w:rsid w:val="001352D2"/>
    <w:rsid w:val="001353DE"/>
    <w:rsid w:val="00155572"/>
    <w:rsid w:val="001779F1"/>
    <w:rsid w:val="00186919"/>
    <w:rsid w:val="001A382C"/>
    <w:rsid w:val="001A4706"/>
    <w:rsid w:val="001A482B"/>
    <w:rsid w:val="001C75D4"/>
    <w:rsid w:val="001D5897"/>
    <w:rsid w:val="001F15E6"/>
    <w:rsid w:val="00200D52"/>
    <w:rsid w:val="00201756"/>
    <w:rsid w:val="002037C3"/>
    <w:rsid w:val="00210406"/>
    <w:rsid w:val="002153AF"/>
    <w:rsid w:val="0021684B"/>
    <w:rsid w:val="0022361D"/>
    <w:rsid w:val="0022422E"/>
    <w:rsid w:val="00226464"/>
    <w:rsid w:val="00227990"/>
    <w:rsid w:val="002323B5"/>
    <w:rsid w:val="00235D7F"/>
    <w:rsid w:val="00236521"/>
    <w:rsid w:val="00244567"/>
    <w:rsid w:val="00247231"/>
    <w:rsid w:val="00257D99"/>
    <w:rsid w:val="00265907"/>
    <w:rsid w:val="00265BDA"/>
    <w:rsid w:val="00267D7C"/>
    <w:rsid w:val="002703DF"/>
    <w:rsid w:val="00277BB3"/>
    <w:rsid w:val="00277C10"/>
    <w:rsid w:val="00280A66"/>
    <w:rsid w:val="00285648"/>
    <w:rsid w:val="0029327F"/>
    <w:rsid w:val="002B0555"/>
    <w:rsid w:val="002C0571"/>
    <w:rsid w:val="002C0BD4"/>
    <w:rsid w:val="002C1589"/>
    <w:rsid w:val="002C6DB4"/>
    <w:rsid w:val="002E3D93"/>
    <w:rsid w:val="002E481A"/>
    <w:rsid w:val="0030349E"/>
    <w:rsid w:val="00303650"/>
    <w:rsid w:val="0030620D"/>
    <w:rsid w:val="00312A49"/>
    <w:rsid w:val="003143DA"/>
    <w:rsid w:val="00323193"/>
    <w:rsid w:val="00324604"/>
    <w:rsid w:val="00326EFA"/>
    <w:rsid w:val="00332BD5"/>
    <w:rsid w:val="00337A84"/>
    <w:rsid w:val="00342DD3"/>
    <w:rsid w:val="0034502D"/>
    <w:rsid w:val="00347A05"/>
    <w:rsid w:val="00354A63"/>
    <w:rsid w:val="0035530F"/>
    <w:rsid w:val="003665FC"/>
    <w:rsid w:val="00373EB0"/>
    <w:rsid w:val="0039642D"/>
    <w:rsid w:val="003A1847"/>
    <w:rsid w:val="003A1992"/>
    <w:rsid w:val="003B42C0"/>
    <w:rsid w:val="003C0C50"/>
    <w:rsid w:val="003C1556"/>
    <w:rsid w:val="003F4CDB"/>
    <w:rsid w:val="00403D42"/>
    <w:rsid w:val="004139B8"/>
    <w:rsid w:val="004146D9"/>
    <w:rsid w:val="00421355"/>
    <w:rsid w:val="00422FA7"/>
    <w:rsid w:val="0042644D"/>
    <w:rsid w:val="0043102F"/>
    <w:rsid w:val="00437380"/>
    <w:rsid w:val="00477700"/>
    <w:rsid w:val="004864F2"/>
    <w:rsid w:val="00495ACD"/>
    <w:rsid w:val="004D3579"/>
    <w:rsid w:val="004D57A9"/>
    <w:rsid w:val="004D6CFE"/>
    <w:rsid w:val="004D7F61"/>
    <w:rsid w:val="004E1769"/>
    <w:rsid w:val="004E1A8E"/>
    <w:rsid w:val="004E3615"/>
    <w:rsid w:val="004E4E95"/>
    <w:rsid w:val="004E7548"/>
    <w:rsid w:val="004F098A"/>
    <w:rsid w:val="004F69D7"/>
    <w:rsid w:val="004F78CB"/>
    <w:rsid w:val="005010BA"/>
    <w:rsid w:val="00501DE3"/>
    <w:rsid w:val="00505905"/>
    <w:rsid w:val="005070BD"/>
    <w:rsid w:val="00517884"/>
    <w:rsid w:val="005264EF"/>
    <w:rsid w:val="00527336"/>
    <w:rsid w:val="0052768B"/>
    <w:rsid w:val="00534B81"/>
    <w:rsid w:val="00535534"/>
    <w:rsid w:val="00542FC7"/>
    <w:rsid w:val="005535BC"/>
    <w:rsid w:val="00556402"/>
    <w:rsid w:val="00561378"/>
    <w:rsid w:val="00586F16"/>
    <w:rsid w:val="00593E11"/>
    <w:rsid w:val="005A070F"/>
    <w:rsid w:val="005A0CF4"/>
    <w:rsid w:val="005A1F67"/>
    <w:rsid w:val="005A5CCD"/>
    <w:rsid w:val="005B2206"/>
    <w:rsid w:val="005B27C4"/>
    <w:rsid w:val="005B6A5F"/>
    <w:rsid w:val="005D14F2"/>
    <w:rsid w:val="005D7832"/>
    <w:rsid w:val="005E5427"/>
    <w:rsid w:val="005F009A"/>
    <w:rsid w:val="005F587E"/>
    <w:rsid w:val="00601E4E"/>
    <w:rsid w:val="006136A3"/>
    <w:rsid w:val="00613AC3"/>
    <w:rsid w:val="006169BE"/>
    <w:rsid w:val="00621209"/>
    <w:rsid w:val="00635157"/>
    <w:rsid w:val="00642D4B"/>
    <w:rsid w:val="00650616"/>
    <w:rsid w:val="00653DE7"/>
    <w:rsid w:val="00670BF7"/>
    <w:rsid w:val="00672D0F"/>
    <w:rsid w:val="00675BA1"/>
    <w:rsid w:val="00677183"/>
    <w:rsid w:val="006948AA"/>
    <w:rsid w:val="006A329E"/>
    <w:rsid w:val="006B194B"/>
    <w:rsid w:val="006B19F4"/>
    <w:rsid w:val="006C77CD"/>
    <w:rsid w:val="006D4165"/>
    <w:rsid w:val="006D7AC1"/>
    <w:rsid w:val="006E283A"/>
    <w:rsid w:val="006E2FCC"/>
    <w:rsid w:val="006E4755"/>
    <w:rsid w:val="006E67A5"/>
    <w:rsid w:val="006F0807"/>
    <w:rsid w:val="006F2A87"/>
    <w:rsid w:val="006F320D"/>
    <w:rsid w:val="006F389D"/>
    <w:rsid w:val="006F5386"/>
    <w:rsid w:val="00712D45"/>
    <w:rsid w:val="00725BF8"/>
    <w:rsid w:val="00743CC2"/>
    <w:rsid w:val="007442F0"/>
    <w:rsid w:val="00751A92"/>
    <w:rsid w:val="0075253C"/>
    <w:rsid w:val="00756834"/>
    <w:rsid w:val="0075732C"/>
    <w:rsid w:val="00757DC7"/>
    <w:rsid w:val="00760A51"/>
    <w:rsid w:val="00785A04"/>
    <w:rsid w:val="00790134"/>
    <w:rsid w:val="007952AF"/>
    <w:rsid w:val="007A6C57"/>
    <w:rsid w:val="007B20C1"/>
    <w:rsid w:val="007C04F7"/>
    <w:rsid w:val="007C3F34"/>
    <w:rsid w:val="007D1AAC"/>
    <w:rsid w:val="007E3305"/>
    <w:rsid w:val="007E59A5"/>
    <w:rsid w:val="00805543"/>
    <w:rsid w:val="00824B60"/>
    <w:rsid w:val="00842667"/>
    <w:rsid w:val="00852563"/>
    <w:rsid w:val="00861D4B"/>
    <w:rsid w:val="00867546"/>
    <w:rsid w:val="008749C3"/>
    <w:rsid w:val="00875A84"/>
    <w:rsid w:val="00885163"/>
    <w:rsid w:val="0088565C"/>
    <w:rsid w:val="008949E8"/>
    <w:rsid w:val="008A4278"/>
    <w:rsid w:val="008A5DC3"/>
    <w:rsid w:val="008A6BEC"/>
    <w:rsid w:val="008C39D0"/>
    <w:rsid w:val="008D1F25"/>
    <w:rsid w:val="008D32C9"/>
    <w:rsid w:val="008E03D4"/>
    <w:rsid w:val="008F2A73"/>
    <w:rsid w:val="008F3F06"/>
    <w:rsid w:val="009038D3"/>
    <w:rsid w:val="009121A8"/>
    <w:rsid w:val="009159FC"/>
    <w:rsid w:val="009277F5"/>
    <w:rsid w:val="00930DE6"/>
    <w:rsid w:val="00934C6F"/>
    <w:rsid w:val="0094074C"/>
    <w:rsid w:val="009417C5"/>
    <w:rsid w:val="00961DCF"/>
    <w:rsid w:val="009762CB"/>
    <w:rsid w:val="009768B7"/>
    <w:rsid w:val="00977DEF"/>
    <w:rsid w:val="009A3868"/>
    <w:rsid w:val="009A54B5"/>
    <w:rsid w:val="009A6A19"/>
    <w:rsid w:val="009A71C7"/>
    <w:rsid w:val="009B4734"/>
    <w:rsid w:val="009C5F6B"/>
    <w:rsid w:val="009D5857"/>
    <w:rsid w:val="009E0668"/>
    <w:rsid w:val="009E4E4F"/>
    <w:rsid w:val="009E6D91"/>
    <w:rsid w:val="009F4B77"/>
    <w:rsid w:val="00A013B1"/>
    <w:rsid w:val="00A1195A"/>
    <w:rsid w:val="00A36686"/>
    <w:rsid w:val="00A4645C"/>
    <w:rsid w:val="00A46BCA"/>
    <w:rsid w:val="00A55000"/>
    <w:rsid w:val="00A6426B"/>
    <w:rsid w:val="00A70579"/>
    <w:rsid w:val="00A74970"/>
    <w:rsid w:val="00A763DE"/>
    <w:rsid w:val="00A811B8"/>
    <w:rsid w:val="00A92753"/>
    <w:rsid w:val="00A9291C"/>
    <w:rsid w:val="00A93613"/>
    <w:rsid w:val="00AA2453"/>
    <w:rsid w:val="00AA2BDF"/>
    <w:rsid w:val="00AB4C39"/>
    <w:rsid w:val="00AB5C05"/>
    <w:rsid w:val="00AD5B10"/>
    <w:rsid w:val="00AE33AA"/>
    <w:rsid w:val="00AE4702"/>
    <w:rsid w:val="00AF66E4"/>
    <w:rsid w:val="00B13B0C"/>
    <w:rsid w:val="00B13EDC"/>
    <w:rsid w:val="00B370E0"/>
    <w:rsid w:val="00B53AD5"/>
    <w:rsid w:val="00B56570"/>
    <w:rsid w:val="00B56A58"/>
    <w:rsid w:val="00B57BAD"/>
    <w:rsid w:val="00B74DAB"/>
    <w:rsid w:val="00B87AF4"/>
    <w:rsid w:val="00B94C0E"/>
    <w:rsid w:val="00B9648F"/>
    <w:rsid w:val="00BA49D5"/>
    <w:rsid w:val="00BB0A86"/>
    <w:rsid w:val="00BC0DD6"/>
    <w:rsid w:val="00BD3B2A"/>
    <w:rsid w:val="00BE2087"/>
    <w:rsid w:val="00BE26CA"/>
    <w:rsid w:val="00C04330"/>
    <w:rsid w:val="00C07E92"/>
    <w:rsid w:val="00C10164"/>
    <w:rsid w:val="00C2442F"/>
    <w:rsid w:val="00C4459E"/>
    <w:rsid w:val="00C470F7"/>
    <w:rsid w:val="00C556BD"/>
    <w:rsid w:val="00C6125D"/>
    <w:rsid w:val="00C62E63"/>
    <w:rsid w:val="00C733DA"/>
    <w:rsid w:val="00C81F1B"/>
    <w:rsid w:val="00CA307C"/>
    <w:rsid w:val="00CA37E1"/>
    <w:rsid w:val="00CE5714"/>
    <w:rsid w:val="00CF11DF"/>
    <w:rsid w:val="00CF3C97"/>
    <w:rsid w:val="00D03BAF"/>
    <w:rsid w:val="00D065C8"/>
    <w:rsid w:val="00D131C1"/>
    <w:rsid w:val="00D2145C"/>
    <w:rsid w:val="00D335D2"/>
    <w:rsid w:val="00D407D3"/>
    <w:rsid w:val="00D45601"/>
    <w:rsid w:val="00D47A56"/>
    <w:rsid w:val="00D52FBD"/>
    <w:rsid w:val="00D54AEA"/>
    <w:rsid w:val="00D73DC5"/>
    <w:rsid w:val="00D807E9"/>
    <w:rsid w:val="00D8204E"/>
    <w:rsid w:val="00D84601"/>
    <w:rsid w:val="00DA207D"/>
    <w:rsid w:val="00DA6E2C"/>
    <w:rsid w:val="00DA6FE0"/>
    <w:rsid w:val="00DB1C9C"/>
    <w:rsid w:val="00DB2300"/>
    <w:rsid w:val="00DB3D06"/>
    <w:rsid w:val="00DC4799"/>
    <w:rsid w:val="00DD3474"/>
    <w:rsid w:val="00DD7D09"/>
    <w:rsid w:val="00DE0A36"/>
    <w:rsid w:val="00DE67EA"/>
    <w:rsid w:val="00DF7C84"/>
    <w:rsid w:val="00E00315"/>
    <w:rsid w:val="00E0354C"/>
    <w:rsid w:val="00E0368D"/>
    <w:rsid w:val="00E03FB3"/>
    <w:rsid w:val="00E105B4"/>
    <w:rsid w:val="00E10D7A"/>
    <w:rsid w:val="00E10FED"/>
    <w:rsid w:val="00E11B33"/>
    <w:rsid w:val="00E12EC3"/>
    <w:rsid w:val="00E17620"/>
    <w:rsid w:val="00E215FC"/>
    <w:rsid w:val="00E23E65"/>
    <w:rsid w:val="00E26E68"/>
    <w:rsid w:val="00E279B8"/>
    <w:rsid w:val="00E30AEE"/>
    <w:rsid w:val="00E30E7F"/>
    <w:rsid w:val="00E43EC3"/>
    <w:rsid w:val="00E444FC"/>
    <w:rsid w:val="00E47608"/>
    <w:rsid w:val="00E51BCF"/>
    <w:rsid w:val="00E60ABC"/>
    <w:rsid w:val="00E648AC"/>
    <w:rsid w:val="00E66C03"/>
    <w:rsid w:val="00E700B4"/>
    <w:rsid w:val="00E71F8A"/>
    <w:rsid w:val="00E860A6"/>
    <w:rsid w:val="00E90828"/>
    <w:rsid w:val="00E90BB6"/>
    <w:rsid w:val="00E966CC"/>
    <w:rsid w:val="00EA226C"/>
    <w:rsid w:val="00EB0241"/>
    <w:rsid w:val="00EB3DD8"/>
    <w:rsid w:val="00EB5303"/>
    <w:rsid w:val="00EC0656"/>
    <w:rsid w:val="00ED288D"/>
    <w:rsid w:val="00ED511A"/>
    <w:rsid w:val="00ED6340"/>
    <w:rsid w:val="00ED6939"/>
    <w:rsid w:val="00ED7A0E"/>
    <w:rsid w:val="00EE156C"/>
    <w:rsid w:val="00EE5CC1"/>
    <w:rsid w:val="00F04096"/>
    <w:rsid w:val="00F04ACE"/>
    <w:rsid w:val="00F06D27"/>
    <w:rsid w:val="00F14EEE"/>
    <w:rsid w:val="00F22C35"/>
    <w:rsid w:val="00F30704"/>
    <w:rsid w:val="00F43F47"/>
    <w:rsid w:val="00F4674E"/>
    <w:rsid w:val="00F50346"/>
    <w:rsid w:val="00F50CB6"/>
    <w:rsid w:val="00FB0A96"/>
    <w:rsid w:val="00FB22C9"/>
    <w:rsid w:val="00FB2618"/>
    <w:rsid w:val="00FC4180"/>
    <w:rsid w:val="00FC673E"/>
    <w:rsid w:val="00FD61B7"/>
    <w:rsid w:val="00FE435F"/>
    <w:rsid w:val="00FE6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20DAB2"/>
  <w15:docId w15:val="{F03E6D95-8D32-4C55-A0EF-C668C9D5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5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6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D91"/>
  </w:style>
  <w:style w:type="paragraph" w:styleId="Footer">
    <w:name w:val="footer"/>
    <w:basedOn w:val="Normal"/>
    <w:link w:val="FooterChar"/>
    <w:uiPriority w:val="99"/>
    <w:unhideWhenUsed/>
    <w:rsid w:val="009E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D91"/>
  </w:style>
  <w:style w:type="paragraph" w:styleId="BalloonText">
    <w:name w:val="Balloon Text"/>
    <w:basedOn w:val="Normal"/>
    <w:link w:val="BalloonTextChar"/>
    <w:uiPriority w:val="99"/>
    <w:semiHidden/>
    <w:unhideWhenUsed/>
    <w:rsid w:val="009E6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D91"/>
    <w:rPr>
      <w:rFonts w:ascii="Tahoma" w:hAnsi="Tahoma" w:cs="Tahoma"/>
      <w:sz w:val="16"/>
      <w:szCs w:val="16"/>
    </w:rPr>
  </w:style>
  <w:style w:type="paragraph" w:styleId="ListParagraph">
    <w:name w:val="List Paragraph"/>
    <w:basedOn w:val="Normal"/>
    <w:qFormat/>
    <w:rsid w:val="0030620D"/>
    <w:pPr>
      <w:ind w:left="720"/>
      <w:contextualSpacing/>
    </w:pPr>
  </w:style>
  <w:style w:type="character" w:styleId="CommentReference">
    <w:name w:val="annotation reference"/>
    <w:basedOn w:val="DefaultParagraphFont"/>
    <w:uiPriority w:val="99"/>
    <w:semiHidden/>
    <w:unhideWhenUsed/>
    <w:rsid w:val="00E90BB6"/>
    <w:rPr>
      <w:sz w:val="16"/>
      <w:szCs w:val="16"/>
    </w:rPr>
  </w:style>
  <w:style w:type="paragraph" w:styleId="CommentText">
    <w:name w:val="annotation text"/>
    <w:basedOn w:val="Normal"/>
    <w:link w:val="CommentTextChar"/>
    <w:uiPriority w:val="99"/>
    <w:semiHidden/>
    <w:unhideWhenUsed/>
    <w:rsid w:val="00E90BB6"/>
    <w:pPr>
      <w:spacing w:line="240" w:lineRule="auto"/>
    </w:pPr>
    <w:rPr>
      <w:sz w:val="20"/>
      <w:szCs w:val="20"/>
    </w:rPr>
  </w:style>
  <w:style w:type="character" w:customStyle="1" w:styleId="CommentTextChar">
    <w:name w:val="Comment Text Char"/>
    <w:basedOn w:val="DefaultParagraphFont"/>
    <w:link w:val="CommentText"/>
    <w:uiPriority w:val="99"/>
    <w:semiHidden/>
    <w:rsid w:val="00E90BB6"/>
    <w:rPr>
      <w:sz w:val="20"/>
      <w:szCs w:val="20"/>
    </w:rPr>
  </w:style>
  <w:style w:type="paragraph" w:styleId="CommentSubject">
    <w:name w:val="annotation subject"/>
    <w:basedOn w:val="CommentText"/>
    <w:next w:val="CommentText"/>
    <w:link w:val="CommentSubjectChar"/>
    <w:uiPriority w:val="99"/>
    <w:semiHidden/>
    <w:unhideWhenUsed/>
    <w:rsid w:val="00E90BB6"/>
    <w:rPr>
      <w:b/>
      <w:bCs/>
    </w:rPr>
  </w:style>
  <w:style w:type="character" w:customStyle="1" w:styleId="CommentSubjectChar">
    <w:name w:val="Comment Subject Char"/>
    <w:basedOn w:val="CommentTextChar"/>
    <w:link w:val="CommentSubject"/>
    <w:uiPriority w:val="99"/>
    <w:semiHidden/>
    <w:rsid w:val="00E90BB6"/>
    <w:rPr>
      <w:b/>
      <w:bCs/>
      <w:sz w:val="20"/>
      <w:szCs w:val="20"/>
    </w:rPr>
  </w:style>
  <w:style w:type="paragraph" w:customStyle="1" w:styleId="Standard">
    <w:name w:val="Standard"/>
    <w:rsid w:val="00FB0A96"/>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26915">
      <w:bodyDiv w:val="1"/>
      <w:marLeft w:val="0"/>
      <w:marRight w:val="0"/>
      <w:marTop w:val="0"/>
      <w:marBottom w:val="0"/>
      <w:divBdr>
        <w:top w:val="none" w:sz="0" w:space="0" w:color="auto"/>
        <w:left w:val="none" w:sz="0" w:space="0" w:color="auto"/>
        <w:bottom w:val="none" w:sz="0" w:space="0" w:color="auto"/>
        <w:right w:val="none" w:sz="0" w:space="0" w:color="auto"/>
      </w:divBdr>
    </w:div>
    <w:div w:id="241716368">
      <w:bodyDiv w:val="1"/>
      <w:marLeft w:val="0"/>
      <w:marRight w:val="0"/>
      <w:marTop w:val="0"/>
      <w:marBottom w:val="0"/>
      <w:divBdr>
        <w:top w:val="none" w:sz="0" w:space="0" w:color="auto"/>
        <w:left w:val="none" w:sz="0" w:space="0" w:color="auto"/>
        <w:bottom w:val="none" w:sz="0" w:space="0" w:color="auto"/>
        <w:right w:val="none" w:sz="0" w:space="0" w:color="auto"/>
      </w:divBdr>
    </w:div>
    <w:div w:id="809051718">
      <w:bodyDiv w:val="1"/>
      <w:marLeft w:val="0"/>
      <w:marRight w:val="0"/>
      <w:marTop w:val="0"/>
      <w:marBottom w:val="0"/>
      <w:divBdr>
        <w:top w:val="none" w:sz="0" w:space="0" w:color="auto"/>
        <w:left w:val="none" w:sz="0" w:space="0" w:color="auto"/>
        <w:bottom w:val="none" w:sz="0" w:space="0" w:color="auto"/>
        <w:right w:val="none" w:sz="0" w:space="0" w:color="auto"/>
      </w:divBdr>
    </w:div>
    <w:div w:id="1047603031">
      <w:bodyDiv w:val="1"/>
      <w:marLeft w:val="0"/>
      <w:marRight w:val="0"/>
      <w:marTop w:val="0"/>
      <w:marBottom w:val="0"/>
      <w:divBdr>
        <w:top w:val="none" w:sz="0" w:space="0" w:color="auto"/>
        <w:left w:val="none" w:sz="0" w:space="0" w:color="auto"/>
        <w:bottom w:val="none" w:sz="0" w:space="0" w:color="auto"/>
        <w:right w:val="none" w:sz="0" w:space="0" w:color="auto"/>
      </w:divBdr>
    </w:div>
    <w:div w:id="1227645106">
      <w:bodyDiv w:val="1"/>
      <w:marLeft w:val="0"/>
      <w:marRight w:val="0"/>
      <w:marTop w:val="0"/>
      <w:marBottom w:val="0"/>
      <w:divBdr>
        <w:top w:val="none" w:sz="0" w:space="0" w:color="auto"/>
        <w:left w:val="none" w:sz="0" w:space="0" w:color="auto"/>
        <w:bottom w:val="none" w:sz="0" w:space="0" w:color="auto"/>
        <w:right w:val="none" w:sz="0" w:space="0" w:color="auto"/>
      </w:divBdr>
    </w:div>
    <w:div w:id="158722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Kanishka Mohan</dc:creator>
  <cp:lastModifiedBy>Bernice Cyril Mendonza - Global Markets</cp:lastModifiedBy>
  <cp:revision>31</cp:revision>
  <dcterms:created xsi:type="dcterms:W3CDTF">2019-08-28T12:47:00Z</dcterms:created>
  <dcterms:modified xsi:type="dcterms:W3CDTF">2020-12-11T12:18:00Z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e1e75b-30e8-4eb6-924b-9228391a679f_Enabled">
    <vt:lpwstr>True</vt:lpwstr>
  </property>
  <property fmtid="{D5CDD505-2E9C-101B-9397-08002B2CF9AE}" pid="3" name="MSIP_Label_30e1e75b-30e8-4eb6-924b-9228391a679f_SiteId">
    <vt:lpwstr>02dbf22a-371e-4cac-bdbc-60197ffafbe8</vt:lpwstr>
  </property>
  <property fmtid="{D5CDD505-2E9C-101B-9397-08002B2CF9AE}" pid="4" name="MSIP_Label_30e1e75b-30e8-4eb6-924b-9228391a679f_Owner">
    <vt:lpwstr>Alay.Mehta@edelweissfin.com</vt:lpwstr>
  </property>
  <property fmtid="{D5CDD505-2E9C-101B-9397-08002B2CF9AE}" pid="5" name="MSIP_Label_30e1e75b-30e8-4eb6-924b-9228391a679f_SetDate">
    <vt:lpwstr>2020-12-11T10:44:20.5290234Z</vt:lpwstr>
  </property>
  <property fmtid="{D5CDD505-2E9C-101B-9397-08002B2CF9AE}" pid="6" name="MSIP_Label_30e1e75b-30e8-4eb6-924b-9228391a679f_Name">
    <vt:lpwstr>Internal</vt:lpwstr>
  </property>
  <property fmtid="{D5CDD505-2E9C-101B-9397-08002B2CF9AE}" pid="7" name="MSIP_Label_30e1e75b-30e8-4eb6-924b-9228391a679f_Application">
    <vt:lpwstr>Microsoft Azure Information Protection</vt:lpwstr>
  </property>
  <property fmtid="{D5CDD505-2E9C-101B-9397-08002B2CF9AE}" pid="8" name="MSIP_Label_30e1e75b-30e8-4eb6-924b-9228391a679f_ActionId">
    <vt:lpwstr>43cdf93b-c040-48ff-b27c-7fe5d03aa35c</vt:lpwstr>
  </property>
  <property fmtid="{D5CDD505-2E9C-101B-9397-08002B2CF9AE}" pid="9" name="MSIP_Label_30e1e75b-30e8-4eb6-924b-9228391a679f_Extended_MSFT_Method">
    <vt:lpwstr>Automatic</vt:lpwstr>
  </property>
  <property fmtid="{D5CDD505-2E9C-101B-9397-08002B2CF9AE}" pid="10" name="Sensitivity">
    <vt:lpwstr>Internal</vt:lpwstr>
  </property>
</Properties>
</file>