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Freight Rate Prediction: Approach &amp; Validation</w:t>
      </w:r>
    </w:p>
    <w:p>
      <w:pPr>
        <w:spacing w:after="120"/>
      </w:pPr>
      <w:r>
        <w:t xml:space="preserve">Machine Learning Engineer Assessment · Ayush Kumar Dubey</w:t>
      </w:r>
    </w:p>
    <w:p>
      <w:pPr>
        <w:pStyle w:val="Heading1"/>
      </w:pPr>
      <w:r>
        <w:t xml:space="preserve">1. Data and what shaped the split</w:t>
      </w:r>
    </w:p>
    <w:p>
      <w:pPr>
        <w:spacing w:after="120"/>
      </w:pPr>
      <w:r>
        <w:t xml:space="preserve">Labeled data (train_test.csv) has 48,000 loads from 2025-01-01 to 2025-10-31. The 12,000 loads to predict (validation.csv) run from 2025-11-01 to 2025-12-31, so the final task is forecasting the future, not interpolating. Validation also contains 8 cities that never appear in training (Allentown, Charlotte, Chicago, Jackson, Knoxville, Laredo, Norfolk, San Diego), touching about 12% of loads.</w:t>
      </w:r>
    </w:p>
    <w:p>
      <w:pPr>
        <w:pStyle w:val="Heading1"/>
      </w:pPr>
      <w:r>
        <w:t xml:space="preserve">2. Validation and split approach</w:t>
      </w:r>
    </w:p>
    <w:p>
      <w:pPr>
        <w:spacing w:after="120"/>
      </w:pPr>
      <w:r>
        <w:t xml:space="preserve">A random split would leak: loads from the same days sit on both sides, and market_index moves seasonally. I used an expanding-window chronological split that mimics the real task: fit on everything before a cutoff, then score the following two months. Three folds were used (cutoffs 1 Jul, 1 Aug, 1 Sep); no fold ever sees its own future. The final model is refit on all 48,000 labeled loads.</w:t>
      </w:r>
    </w:p>
    <w:p>
      <w:pPr>
        <w:spacing w:after="120"/>
      </w:pPr>
      <w:r>
        <w:t xml:space="preserve">Because 8 validation cities are new, I also ran a city-holdout check: 8 random cities were removed from training and every load touching them was scored. The model uses distance, equipment, and coordinates rather than city identity, so it generalises to new cities (held-out MAE $82.0, median error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150"/>
        <w:gridCol w:w="1250"/>
        <w:gridCol w:w="1350"/>
        <w:gridCol w:w="1250"/>
        <w:gridCol w:w="1060"/>
      </w:tblGrid>
      <w:tr>
        <w:trPr>
          <w:tblHeader/>
        </w:trPr>
        <w:tc>
          <w:tcPr>
            <w:tcW w:type="dxa" w:w="3300"/>
            <w:tcBorders>
              <w:top w:val="single" w:color="BBBBBB" w:sz="4"/>
              <w:left w:val="single" w:color="BBBBBB" w:sz="4"/>
              <w:bottom w:val="single" w:color="BBBBBB" w:sz="4"/>
              <w:right w:val="single" w:color="BBBBBB" w:sz="4"/>
            </w:tcBorders>
            <w:shd w:fill="E3EEF0" w:val="clear"/>
            <w:tcMar>
              <w:top w:type="dxa" w:w="60"/>
              <w:left w:type="dxa" w:w="100"/>
              <w:bottom w:type="dxa" w:w="60"/>
              <w:right w:type="dxa" w:w="100"/>
            </w:tcMar>
          </w:tcPr>
          <w:p>
            <w:r>
              <w:rPr>
                <w:b/>
                <w:bCs/>
                <w:sz w:val="19"/>
                <w:szCs w:val="19"/>
              </w:rPr>
              <w:t xml:space="preserve">Chronological fold (train → test)</w:t>
            </w:r>
          </w:p>
        </w:tc>
        <w:tc>
          <w:tcPr>
            <w:tcW w:type="dxa" w:w="1150"/>
            <w:tcBorders>
              <w:top w:val="single" w:color="BBBBBB" w:sz="4"/>
              <w:left w:val="single" w:color="BBBBBB" w:sz="4"/>
              <w:bottom w:val="single" w:color="BBBBBB" w:sz="4"/>
              <w:right w:val="single" w:color="BBBBBB" w:sz="4"/>
            </w:tcBorders>
            <w:shd w:fill="E3EEF0" w:val="clear"/>
            <w:tcMar>
              <w:top w:type="dxa" w:w="60"/>
              <w:left w:type="dxa" w:w="100"/>
              <w:bottom w:type="dxa" w:w="60"/>
              <w:right w:type="dxa" w:w="100"/>
            </w:tcMar>
          </w:tcPr>
          <w:p>
            <w:r>
              <w:rPr>
                <w:b/>
                <w:bCs/>
                <w:sz w:val="19"/>
                <w:szCs w:val="19"/>
              </w:rPr>
              <w:t xml:space="preserve">Model MAE</w:t>
            </w:r>
          </w:p>
        </w:tc>
        <w:tc>
          <w:tcPr>
            <w:tcW w:type="dxa" w:w="1250"/>
            <w:tcBorders>
              <w:top w:val="single" w:color="BBBBBB" w:sz="4"/>
              <w:left w:val="single" w:color="BBBBBB" w:sz="4"/>
              <w:bottom w:val="single" w:color="BBBBBB" w:sz="4"/>
              <w:right w:val="single" w:color="BBBBBB" w:sz="4"/>
            </w:tcBorders>
            <w:shd w:fill="E3EEF0" w:val="clear"/>
            <w:tcMar>
              <w:top w:type="dxa" w:w="60"/>
              <w:left w:type="dxa" w:w="100"/>
              <w:bottom w:type="dxa" w:w="60"/>
              <w:right w:type="dxa" w:w="100"/>
            </w:tcMar>
          </w:tcPr>
          <w:p>
            <w:r>
              <w:rPr>
                <w:b/>
                <w:bCs/>
                <w:sz w:val="19"/>
                <w:szCs w:val="19"/>
              </w:rPr>
              <w:t xml:space="preserve">Model MAPE</w:t>
            </w:r>
          </w:p>
        </w:tc>
        <w:tc>
          <w:tcPr>
            <w:tcW w:type="dxa" w:w="1350"/>
            <w:tcBorders>
              <w:top w:val="single" w:color="BBBBBB" w:sz="4"/>
              <w:left w:val="single" w:color="BBBBBB" w:sz="4"/>
              <w:bottom w:val="single" w:color="BBBBBB" w:sz="4"/>
              <w:right w:val="single" w:color="BBBBBB" w:sz="4"/>
            </w:tcBorders>
            <w:shd w:fill="E3EEF0" w:val="clear"/>
            <w:tcMar>
              <w:top w:type="dxa" w:w="60"/>
              <w:left w:type="dxa" w:w="100"/>
              <w:bottom w:type="dxa" w:w="60"/>
              <w:right w:type="dxa" w:w="100"/>
            </w:tcMar>
          </w:tcPr>
          <w:p>
            <w:r>
              <w:rPr>
                <w:b/>
                <w:bCs/>
                <w:sz w:val="19"/>
                <w:szCs w:val="19"/>
              </w:rPr>
              <w:t xml:space="preserve">Model MedAPE</w:t>
            </w:r>
          </w:p>
        </w:tc>
        <w:tc>
          <w:tcPr>
            <w:tcW w:type="dxa" w:w="1250"/>
            <w:tcBorders>
              <w:top w:val="single" w:color="BBBBBB" w:sz="4"/>
              <w:left w:val="single" w:color="BBBBBB" w:sz="4"/>
              <w:bottom w:val="single" w:color="BBBBBB" w:sz="4"/>
              <w:right w:val="single" w:color="BBBBBB" w:sz="4"/>
            </w:tcBorders>
            <w:shd w:fill="E3EEF0" w:val="clear"/>
            <w:tcMar>
              <w:top w:type="dxa" w:w="60"/>
              <w:left w:type="dxa" w:w="100"/>
              <w:bottom w:type="dxa" w:w="60"/>
              <w:right w:type="dxa" w:w="100"/>
            </w:tcMar>
          </w:tcPr>
          <w:p>
            <w:r>
              <w:rPr>
                <w:b/>
                <w:bCs/>
                <w:sz w:val="19"/>
                <w:szCs w:val="19"/>
              </w:rPr>
              <w:t xml:space="preserve">Baseline MAE</w:t>
            </w:r>
          </w:p>
        </w:tc>
        <w:tc>
          <w:tcPr>
            <w:tcW w:type="dxa" w:w="1060"/>
            <w:tcBorders>
              <w:top w:val="single" w:color="BBBBBB" w:sz="4"/>
              <w:left w:val="single" w:color="BBBBBB" w:sz="4"/>
              <w:bottom w:val="single" w:color="BBBBBB" w:sz="4"/>
              <w:right w:val="single" w:color="BBBBBB" w:sz="4"/>
            </w:tcBorders>
            <w:shd w:fill="E3EEF0" w:val="clear"/>
            <w:tcMar>
              <w:top w:type="dxa" w:w="60"/>
              <w:left w:type="dxa" w:w="100"/>
              <w:bottom w:type="dxa" w:w="60"/>
              <w:right w:type="dxa" w:w="100"/>
            </w:tcMar>
          </w:tcPr>
          <w:p>
            <w:r>
              <w:rPr>
                <w:b/>
                <w:bCs/>
                <w:sz w:val="19"/>
                <w:szCs w:val="19"/>
              </w:rPr>
              <w:t xml:space="preserve">Baseline MAPE</w:t>
            </w:r>
          </w:p>
        </w:tc>
      </w:tr>
      <w:tr>
        <w:trPr>
          <w:tblHeader w:val="false"/>
        </w:trP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train &lt; 2025-07-01 → test 2025-07-01 to 2025-09-01</w:t>
            </w:r>
          </w:p>
        </w:tc>
        <w:tc>
          <w:tcPr>
            <w:tcW w:type="dxa" w:w="11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$131.1</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6.2%</w:t>
            </w:r>
          </w:p>
        </w:tc>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2.1%</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$222.7</w:t>
            </w:r>
          </w:p>
        </w:tc>
        <w:tc>
          <w:tcPr>
            <w:tcW w:type="dxa" w:w="1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10.1%</w:t>
            </w:r>
          </w:p>
        </w:tc>
      </w:tr>
      <w:tr>
        <w:trPr>
          <w:tblHeader w:val="false"/>
        </w:trP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train &lt; 2025-08-01 → test 2025-08-01 to 2025-10-01</w:t>
            </w:r>
          </w:p>
        </w:tc>
        <w:tc>
          <w:tcPr>
            <w:tcW w:type="dxa" w:w="11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$128.5</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6.0%</w:t>
            </w:r>
          </w:p>
        </w:tc>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2.1%</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$235.2</w:t>
            </w:r>
          </w:p>
        </w:tc>
        <w:tc>
          <w:tcPr>
            <w:tcW w:type="dxa" w:w="1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10.3%</w:t>
            </w:r>
          </w:p>
        </w:tc>
      </w:tr>
      <w:tr>
        <w:trPr>
          <w:tblHeader w:val="false"/>
        </w:trP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train &lt; 2025-09-01 → test 2025-09-01 to 2025-11-01</w:t>
            </w:r>
          </w:p>
        </w:tc>
        <w:tc>
          <w:tcPr>
            <w:tcW w:type="dxa" w:w="11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$118.2</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4.9%</w:t>
            </w:r>
          </w:p>
        </w:tc>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2.2%</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$229.1</w:t>
            </w:r>
          </w:p>
        </w:tc>
        <w:tc>
          <w:tcPr>
            <w:tcW w:type="dxa" w:w="1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10.5%</w:t>
            </w:r>
          </w:p>
        </w:tc>
      </w:tr>
      <w:tr>
        <w:trPr>
          <w:tblHeader w:val="false"/>
        </w:trP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Average</w:t>
            </w:r>
          </w:p>
        </w:tc>
        <w:tc>
          <w:tcPr>
            <w:tcW w:type="dxa" w:w="11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$125.9</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5.7%</w:t>
            </w:r>
          </w:p>
        </w:tc>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2.1%</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$229.0</w:t>
            </w:r>
          </w:p>
        </w:tc>
        <w:tc>
          <w:tcPr>
            <w:tcW w:type="dxa" w:w="1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10.3%</w:t>
            </w:r>
          </w:p>
        </w:tc>
      </w:tr>
    </w:tbl>
    <w:p>
      <w:pPr>
        <w:spacing w:after="120" w:before="120"/>
      </w:pPr>
      <w:r>
        <w:t xml:space="preserve">Baseline = median rate-per-mile by equipment type × distance. The model cuts MAE by about 45% and MAPE by about 45% versus it. RMSE improves less ($630 vs $663 on fold 1) because a small share of loads carry extreme rates that no feature explains; that error is irreducible with the given columns.</w:t>
      </w:r>
    </w:p>
    <w:p>
      <w:pPr>
        <w:pStyle w:val="Heading1"/>
      </w:pPr>
      <w:r>
        <w:t xml:space="preserve">3. Data-quality issues and handling</w:t>
      </w:r>
    </w:p>
    <w:p>
      <w:pPr>
        <w:pStyle w:val="ListParagraph"/>
        <w:numPr>
          <w:ilvl w:val="0"/>
          <w:numId w:val="2"/>
        </w:numPr>
        <w:spacing w:after="60"/>
      </w:pPr>
      <w:r>
        <w:rPr>
          <w:b/>
          <w:bCs/>
        </w:rPr>
        <w:t xml:space="preserve">Negative weights (0.6%): </w:t>
      </w:r>
      <w:r>
        <w:t xml:space="preserve">magnitudes look valid (up to 47,500), so treated as sign errors and replaced with the absolute value.</w:t>
      </w:r>
    </w:p>
    <w:p>
      <w:pPr>
        <w:pStyle w:val="ListParagraph"/>
        <w:numPr>
          <w:ilvl w:val="0"/>
          <w:numId w:val="2"/>
        </w:numPr>
        <w:spacing w:after="60"/>
      </w:pPr>
      <w:r>
        <w:rPr>
          <w:b/>
          <w:bCs/>
        </w:rPr>
        <w:t xml:space="preserve">Missing weight (0.6%) and market_index (0.8%): </w:t>
      </w:r>
      <w:r>
        <w:t xml:space="preserve">weight is left missing with an indicator flag (the model handles NaN natively). market_index is a market-wide daily signal, so gaps are filled with that day's mean across loads. Features only, no target used.</w:t>
      </w:r>
    </w:p>
    <w:p>
      <w:pPr>
        <w:pStyle w:val="ListParagraph"/>
        <w:numPr>
          <w:ilvl w:val="0"/>
          <w:numId w:val="2"/>
        </w:numPr>
        <w:spacing w:after="60"/>
      </w:pPr>
      <w:r>
        <w:rPr>
          <w:b/>
          <w:bCs/>
        </w:rPr>
        <w:t xml:space="preserve">Extreme rates (~1.4% beyond 4 robust sigmas of rate per mile): </w:t>
      </w:r>
      <w:r>
        <w:t xml:space="preserve">rates up to 14 $/mile against a typical ~2.2. I kept them rather than deleting them and used a median-based (absolute error) loss so they cannot drag the fit.</w:t>
      </w:r>
    </w:p>
    <w:p>
      <w:pPr>
        <w:pStyle w:val="ListParagraph"/>
        <w:numPr>
          <w:ilvl w:val="0"/>
          <w:numId w:val="2"/>
        </w:numPr>
        <w:spacing w:after="60"/>
      </w:pPr>
      <w:r>
        <w:rPr>
          <w:b/>
          <w:bCs/>
        </w:rPr>
        <w:t xml:space="preserve">Distance vs coordinates: </w:t>
      </w:r>
      <w:r>
        <w:t xml:space="preserve">distance is normally about 1.18× the straight-line distance between coordinates, but ~0.7% of loads deviate sharply. A distance/straight-line ratio feature was added; its importance is near zero, so these look like mild noise.</w:t>
      </w:r>
    </w:p>
    <w:p>
      <w:pPr>
        <w:pStyle w:val="ListParagraph"/>
        <w:numPr>
          <w:ilvl w:val="0"/>
          <w:numId w:val="2"/>
        </w:numPr>
        <w:spacing w:after="60"/>
      </w:pPr>
      <w:r>
        <w:rPr>
          <w:b/>
          <w:bCs/>
        </w:rPr>
        <w:t xml:space="preserve">Distribution shift: </w:t>
      </w:r>
      <w:r>
        <w:t xml:space="preserve">market_index in Nov–Dec (mean 0.93) is lower than the spring/summer peak (1.3), but it sits inside the training range (seen in Jan and Sep–Oct), so the model is not extrapolating.</w:t>
      </w:r>
    </w:p>
    <w:p>
      <w:pPr>
        <w:pStyle w:val="Heading1"/>
      </w:pPr>
      <w:r>
        <w:t xml:space="preserve">4. Model</w:t>
      </w:r>
    </w:p>
    <w:p>
      <w:pPr>
        <w:spacing w:after="120"/>
      </w:pPr>
      <w:r>
        <w:t xml:space="preserve">Gradient-boosted trees (scikit-learn HistGradientBoostingRegressor, absolute-error loss) predicting log(rate per mile), then multiplied back by distance. Modelling rate per mile removes the dominant distance effect and lets the trees focus on the secondary drivers. Gradient boosting captures the non-linear and interaction effects found in exploration: rate per mile falls with distance, Reefer &gt; Flatbed &gt; Dry Van, heavier loads cost more, and quote_signal has a U-shaped relationship with rate, so its distance from the median is added as a feature. Trying a squared-error loss was worse (MAE 133 vs 126 in my comparison), confirming that robustness to outliers matters. The most important features by permutation importance were log distance, equipment, quote_signal deviation, and weight.</w:t>
      </w:r>
    </w:p>
    <w:p>
      <w:pPr>
        <w:pStyle w:val="Heading1"/>
      </w:pPr>
      <w:r>
        <w:t xml:space="preserve">5. Fixed December prediction chart</w:t>
      </w:r>
    </w:p>
    <w:p>
      <w:pPr>
        <w:spacing w:after="120"/>
      </w:pPr>
      <w:r>
        <w:t xml:space="preserve">Lexington → Fort Wayne, 360 miles, Dry Van, 32,000 lb, with only the date changing. The chart file has no market_index or quote_signal, so I filled them with the real daily mean of those two signals from validation.csv for each date, and used the city coordinates from training. Predictions stay close to $770–786 per load; the only date-driven variation comes through those daily signals, so the line is nearly flat. The model finds no strong calendar effect once market conditions are held fixed.</w:t>
      </w:r>
    </w:p>
    <w:p>
      <w:pPr>
        <w:jc w:val="center"/>
      </w:pPr>
      <w:r>
        <w:drawing>
          <wp:inline distT="0" distB="0" distL="0" distR="0">
            <wp:extent cx="5334000" cy="2381250"/>
            <wp:effectExtent t="0" r="0" b="0" l="0"/>
            <wp:docPr id="1" name="candidate_december" descr="Predicted December 2025 rate" title="Decembe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381250"/>
                    </a:xfrm>
                    <a:prstGeom prst="rect">
                      <a:avLst/>
                    </a:prstGeom>
                  </pic:spPr>
                </pic:pic>
              </a:graphicData>
            </a:graphic>
          </wp:inline>
        </w:drawing>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b/>
      <w:bCs/>
      <w:color w:val="064A56"/>
      <w:sz w:val="30"/>
      <w:szCs w:val="30"/>
    </w:rPr>
  </w:style>
  <w:style w:type="paragraph" w:styleId="Title">
    <w:name w:val="Title"/>
    <w:basedOn w:val="Normal"/>
    <w:pPr>
      <w:spacing w:after="80"/>
    </w:pPr>
    <w:rPr>
      <w:b/>
      <w:bCs/>
      <w:color w:val="064A56"/>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126d719f60f8c9d879c24cb90022d7ef4110b6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2026-10-26T17:44:23.296Z</dcterms:created>
  <dcterms:modified xsi:type="dcterms:W3CDTF">2026-10-26T17:44:23.302Z</dcterms:modified>
</cp:coreProperties>
</file>

<file path=docProps/custom.xml><?xml version="1.0" encoding="utf-8"?>
<Properties xmlns="http://schemas.openxmlformats.org/officeDocument/2006/custom-properties" xmlns:vt="http://schemas.openxmlformats.org/officeDocument/2006/docPropsVTypes"/>
</file>