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676F" w14:textId="6D8282D3" w:rsidR="003B2B5F" w:rsidRDefault="00D82659" w:rsidP="00E5671C">
      <w:pPr>
        <w:pStyle w:val="author"/>
        <w:spacing w:line="240" w:lineRule="auto"/>
        <w:rPr>
          <w:b/>
          <w:sz w:val="28"/>
        </w:rPr>
      </w:pPr>
      <w:r>
        <w:rPr>
          <w:b/>
          <w:sz w:val="28"/>
        </w:rPr>
        <w:t>Supplement to</w:t>
      </w:r>
      <w:r>
        <w:rPr>
          <w:b/>
          <w:sz w:val="28"/>
        </w:rPr>
        <w:br/>
        <w:t>“</w:t>
      </w:r>
      <w:r w:rsidR="00CA2EB5" w:rsidRPr="00CA2EB5">
        <w:rPr>
          <w:b/>
          <w:sz w:val="28"/>
        </w:rPr>
        <w:t xml:space="preserve">Insights into Domain Names and Product Categories of </w:t>
      </w:r>
      <w:r w:rsidR="00CA2EB5">
        <w:rPr>
          <w:b/>
          <w:sz w:val="28"/>
        </w:rPr>
        <w:br/>
      </w:r>
      <w:r w:rsidR="00CA2EB5" w:rsidRPr="00CA2EB5">
        <w:rPr>
          <w:b/>
          <w:sz w:val="28"/>
        </w:rPr>
        <w:t>e-Commerce Websites: A Case Study of the UAE</w:t>
      </w:r>
      <w:r>
        <w:rPr>
          <w:b/>
          <w:sz w:val="28"/>
        </w:rPr>
        <w:t>”</w:t>
      </w:r>
    </w:p>
    <w:p w14:paraId="4C7E808E" w14:textId="77777777" w:rsidR="00EB5E62" w:rsidRPr="00EE426C" w:rsidRDefault="00EB5E62" w:rsidP="00EB5E62">
      <w:pPr>
        <w:pStyle w:val="author"/>
        <w:spacing w:line="240" w:lineRule="auto"/>
      </w:pPr>
      <w:proofErr w:type="spellStart"/>
      <w:r w:rsidRPr="00484C76">
        <w:t>Rachidatou</w:t>
      </w:r>
      <w:proofErr w:type="spellEnd"/>
      <w:r w:rsidRPr="00484C76">
        <w:t xml:space="preserve"> Ingrid Traoret</w:t>
      </w:r>
      <w:r w:rsidRPr="000F3702">
        <w:rPr>
          <w:vertAlign w:val="superscript"/>
        </w:rPr>
        <w:t>1</w:t>
      </w:r>
      <w:r>
        <w:t xml:space="preserve">, </w:t>
      </w:r>
      <w:r w:rsidRPr="00484C76">
        <w:t>Salama Al</w:t>
      </w:r>
      <w:r>
        <w:t>D</w:t>
      </w:r>
      <w:r w:rsidRPr="00484C76">
        <w:t>haher</w:t>
      </w:r>
      <w:r>
        <w:t>i</w:t>
      </w:r>
      <w:r w:rsidRPr="000F3702">
        <w:rPr>
          <w:vertAlign w:val="superscript"/>
        </w:rPr>
        <w:t>1</w:t>
      </w:r>
      <w:r>
        <w:t xml:space="preserve">, </w:t>
      </w:r>
      <w:r w:rsidRPr="003B2B5F">
        <w:t>Fatima AlAmeemi</w:t>
      </w:r>
      <w:r w:rsidRPr="000F3702">
        <w:rPr>
          <w:vertAlign w:val="superscript"/>
        </w:rPr>
        <w:t>1</w:t>
      </w:r>
      <w:r>
        <w:t xml:space="preserve">, </w:t>
      </w:r>
      <w:proofErr w:type="spellStart"/>
      <w:r>
        <w:t>Gurdal</w:t>
      </w:r>
      <w:proofErr w:type="spellEnd"/>
      <w:r>
        <w:t xml:space="preserve"> Ertek</w:t>
      </w:r>
      <w:r w:rsidRPr="000F3702">
        <w:rPr>
          <w:vertAlign w:val="superscript"/>
        </w:rPr>
        <w:t>1</w:t>
      </w:r>
      <w:r>
        <w:t xml:space="preserve"> </w:t>
      </w:r>
    </w:p>
    <w:p w14:paraId="2C169D61" w14:textId="13AB1E5E" w:rsidR="00EB5E62" w:rsidRDefault="00EB5E62" w:rsidP="00EB5E62">
      <w:pPr>
        <w:pStyle w:val="address"/>
        <w:spacing w:line="240" w:lineRule="auto"/>
      </w:pPr>
      <w:r w:rsidRPr="000F3702">
        <w:rPr>
          <w:vertAlign w:val="superscript"/>
        </w:rPr>
        <w:t>1</w:t>
      </w:r>
      <w:r w:rsidR="00126900">
        <w:rPr>
          <w:vertAlign w:val="superscript"/>
        </w:rPr>
        <w:t xml:space="preserve"> </w:t>
      </w:r>
      <w:r>
        <w:t xml:space="preserve">College of Business and Economics, </w:t>
      </w:r>
      <w:r w:rsidRPr="009265AA">
        <w:t>United Arab Emirates University</w:t>
      </w:r>
      <w:r>
        <w:t xml:space="preserve">, </w:t>
      </w:r>
      <w:r w:rsidRPr="009265AA">
        <w:t xml:space="preserve">Al Ain, </w:t>
      </w:r>
      <w:r>
        <w:t>UAE</w:t>
      </w:r>
    </w:p>
    <w:p w14:paraId="7AA06B40" w14:textId="77777777" w:rsidR="00EB5E62" w:rsidRPr="00537AE9" w:rsidRDefault="00000000" w:rsidP="00EB5E62">
      <w:pPr>
        <w:pStyle w:val="address"/>
        <w:textAlignment w:val="auto"/>
        <w:rPr>
          <w:rStyle w:val="Hyperlink"/>
          <w:rFonts w:ascii="Courier" w:hAnsi="Courier"/>
          <w:noProof/>
        </w:rPr>
      </w:pPr>
      <w:hyperlink r:id="rId8" w:history="1">
        <w:r w:rsidR="00EB5E62" w:rsidRPr="00537AE9">
          <w:rPr>
            <w:rStyle w:val="Hyperlink"/>
            <w:rFonts w:ascii="Courier" w:hAnsi="Courier"/>
            <w:noProof/>
          </w:rPr>
          <w:t>700042159@uaeu.ac.ae</w:t>
        </w:r>
      </w:hyperlink>
      <w:r w:rsidR="00EB5E62" w:rsidRPr="00537AE9">
        <w:rPr>
          <w:rStyle w:val="Hyperlink"/>
          <w:rFonts w:ascii="Courier" w:hAnsi="Courier"/>
          <w:noProof/>
        </w:rPr>
        <w:t xml:space="preserve">, </w:t>
      </w:r>
      <w:hyperlink r:id="rId9" w:history="1">
        <w:r w:rsidR="00EB5E62" w:rsidRPr="00537AE9">
          <w:rPr>
            <w:rStyle w:val="Hyperlink"/>
            <w:rFonts w:ascii="Courier" w:hAnsi="Courier"/>
            <w:noProof/>
          </w:rPr>
          <w:t>201801296@uaeu.ac.ae</w:t>
        </w:r>
      </w:hyperlink>
      <w:r w:rsidR="00EB5E62" w:rsidRPr="00537AE9">
        <w:rPr>
          <w:rStyle w:val="Hyperlink"/>
          <w:rFonts w:ascii="Courier" w:hAnsi="Courier"/>
          <w:noProof/>
        </w:rPr>
        <w:t xml:space="preserve">, </w:t>
      </w:r>
      <w:hyperlink r:id="rId10" w:history="1">
        <w:r w:rsidR="00EB5E62" w:rsidRPr="00537AE9">
          <w:rPr>
            <w:rStyle w:val="Hyperlink"/>
            <w:rFonts w:ascii="Courier" w:hAnsi="Courier"/>
            <w:noProof/>
          </w:rPr>
          <w:t>201207945@uaeu.ac.ae</w:t>
        </w:r>
      </w:hyperlink>
      <w:r w:rsidR="00EB5E62" w:rsidRPr="00537AE9">
        <w:rPr>
          <w:rStyle w:val="Hyperlink"/>
          <w:rFonts w:ascii="Courier" w:hAnsi="Courier"/>
          <w:noProof/>
        </w:rPr>
        <w:t xml:space="preserve">, </w:t>
      </w:r>
      <w:hyperlink r:id="rId11" w:history="1">
        <w:r w:rsidR="00EB5E62" w:rsidRPr="00537AE9">
          <w:rPr>
            <w:rStyle w:val="Hyperlink"/>
            <w:rFonts w:ascii="Courier" w:hAnsi="Courier"/>
            <w:noProof/>
          </w:rPr>
          <w:t>gurdal@uaeu.ac.ae</w:t>
        </w:r>
      </w:hyperlink>
    </w:p>
    <w:p w14:paraId="7746ADF2" w14:textId="54BEACF4" w:rsidR="00270326" w:rsidRPr="0095260A" w:rsidRDefault="009B2539" w:rsidP="00E5671C">
      <w:pPr>
        <w:pStyle w:val="abstract"/>
        <w:spacing w:line="240" w:lineRule="auto"/>
        <w:ind w:firstLine="0"/>
      </w:pPr>
      <w:r w:rsidRPr="00EE426C">
        <w:rPr>
          <w:b/>
          <w:bCs/>
        </w:rPr>
        <w:t xml:space="preserve">Abstract. </w:t>
      </w:r>
      <w:bookmarkStart w:id="0" w:name="_Hlk154431349"/>
      <w:r w:rsidR="00514B49" w:rsidRPr="0095260A">
        <w:t>Understanding e-commerce markets and online consumer behavior is critical for e-commerce retailers in the United Arab Emirates (UAE) and across the world. This study conducted a comprehensive analysis of unique e-commerce data to reveal patterns in domain names, product categories, and associations with other attributes. Using data analytics techniques, the initial dataset was cleaned and augmented to conduct the analysis. Key findings reveal ‘.com’ and ‘.ae’ as dominant domain extensions, numeric patterns in domain names, and ‘apparel’ as the most prevalent product category. An in-depth association mining analysis identifies and lists frequent categories and category combinations. This study provides actionable insights into the naming and category planning of e-commerce retailers in the UAE. Multidimensional analysis establishes an analysis and planning framework for evidence-based e-commerce research that can guide the two critical strategic decisions of domain name and category selection, which are among the important strategic decisions when an e-commerce business is first established. Most importantly, while providing insights for UAE e-commerce markets specifically, the methodology can be applied to any country or region.</w:t>
      </w:r>
      <w:bookmarkEnd w:id="0"/>
    </w:p>
    <w:p w14:paraId="2FE52BFA" w14:textId="77777777" w:rsidR="00EB4AFE" w:rsidRDefault="00EB4AFE" w:rsidP="00E5671C">
      <w:pPr>
        <w:pStyle w:val="abstract"/>
        <w:spacing w:line="240" w:lineRule="auto"/>
        <w:ind w:firstLine="0"/>
      </w:pPr>
    </w:p>
    <w:p w14:paraId="4387325A" w14:textId="145F3986" w:rsidR="00752584" w:rsidRPr="0095260A" w:rsidRDefault="009B2539" w:rsidP="00E5671C">
      <w:pPr>
        <w:pStyle w:val="abstract"/>
        <w:spacing w:line="240" w:lineRule="auto"/>
        <w:ind w:firstLine="0"/>
      </w:pPr>
      <w:r w:rsidRPr="00EE426C">
        <w:rPr>
          <w:b/>
          <w:bCs/>
        </w:rPr>
        <w:t>Keywords:</w:t>
      </w:r>
      <w:r w:rsidRPr="00EE426C">
        <w:t xml:space="preserve"> </w:t>
      </w:r>
      <w:r w:rsidR="00326289">
        <w:t>E</w:t>
      </w:r>
      <w:r w:rsidR="00326289" w:rsidRPr="00EB4AFE">
        <w:t xml:space="preserve">-commerce, UAE, </w:t>
      </w:r>
      <w:r w:rsidR="00326289">
        <w:t>O</w:t>
      </w:r>
      <w:r w:rsidR="00326289" w:rsidRPr="00EB4AFE">
        <w:t xml:space="preserve">nline </w:t>
      </w:r>
      <w:r w:rsidR="00326289">
        <w:t>S</w:t>
      </w:r>
      <w:r w:rsidR="00326289" w:rsidRPr="00EB4AFE">
        <w:t xml:space="preserve">hopping, </w:t>
      </w:r>
      <w:r w:rsidR="00326289">
        <w:t>Association Mining</w:t>
      </w:r>
      <w:r w:rsidR="00326289" w:rsidRPr="00EB4AFE">
        <w:t xml:space="preserve">, </w:t>
      </w:r>
      <w:r w:rsidR="00326289">
        <w:t>D</w:t>
      </w:r>
      <w:r w:rsidR="00326289" w:rsidRPr="00EB4AFE">
        <w:t xml:space="preserve">omain </w:t>
      </w:r>
      <w:r w:rsidR="00326289">
        <w:t>N</w:t>
      </w:r>
      <w:r w:rsidR="00326289" w:rsidRPr="00EB4AFE">
        <w:t xml:space="preserve">ames, </w:t>
      </w:r>
      <w:r w:rsidR="00326289">
        <w:t>P</w:t>
      </w:r>
      <w:r w:rsidR="00326289" w:rsidRPr="00EB4AFE">
        <w:t>roduct categories.</w:t>
      </w:r>
    </w:p>
    <w:p w14:paraId="2C814345" w14:textId="77777777" w:rsidR="00747D8C" w:rsidRDefault="00747D8C" w:rsidP="00747D8C">
      <w:pPr>
        <w:pStyle w:val="abstract"/>
        <w:spacing w:line="240" w:lineRule="auto"/>
        <w:ind w:left="0" w:firstLine="0"/>
        <w:rPr>
          <w:b/>
          <w:bCs/>
        </w:rPr>
      </w:pPr>
    </w:p>
    <w:p w14:paraId="6EE1684E" w14:textId="77777777" w:rsidR="00747D8C" w:rsidRDefault="00747D8C" w:rsidP="00747D8C">
      <w:pPr>
        <w:pStyle w:val="heading1"/>
        <w:spacing w:line="240" w:lineRule="auto"/>
      </w:pPr>
      <w:r>
        <w:t xml:space="preserve">Introduction </w:t>
      </w:r>
    </w:p>
    <w:p w14:paraId="586B6F65" w14:textId="07BC64FC" w:rsidR="00747D8C" w:rsidRPr="0095260A" w:rsidRDefault="00747D8C" w:rsidP="00747D8C">
      <w:pPr>
        <w:spacing w:line="240" w:lineRule="auto"/>
        <w:ind w:firstLine="0"/>
      </w:pPr>
      <w:r w:rsidRPr="0095260A">
        <w:t xml:space="preserve">In an era marked by rapid digital transformation and the spread of e-commerce, shopping has overcome the limitations of brick-and-mortar stores. In 2022, the disparity in growth between e-commerce and traditional retail was minimal, with only a marginal difference of 0.2%, highlighting consumers' strong inclination towards online shopping </w:t>
      </w:r>
      <w:r w:rsidR="00EF33C4" w:rsidRPr="0095260A">
        <w:t>[</w:t>
      </w:r>
      <w:r w:rsidRPr="0095260A">
        <w:t>1</w:t>
      </w:r>
      <w:r w:rsidR="00EF33C4" w:rsidRPr="0095260A">
        <w:t>]</w:t>
      </w:r>
      <w:r w:rsidRPr="0095260A">
        <w:t>. Online shopping, once a convenience, has evolved to shape the way consumers explore, select, and purchase products and services. This transformation has not only revolutionized the retail landscape, but has also given rise to new consumer behaviors, preferences, and expectations that continue to reshape the virtual marketplace.</w:t>
      </w:r>
    </w:p>
    <w:p w14:paraId="0BD51A79" w14:textId="6A55CEF9" w:rsidR="00514B49" w:rsidRPr="0095260A" w:rsidRDefault="00747D8C" w:rsidP="00747D8C">
      <w:pPr>
        <w:spacing w:line="240" w:lineRule="auto"/>
      </w:pPr>
      <w:r w:rsidRPr="0095260A">
        <w:t xml:space="preserve">The e-commerce industry is rapidly expanding worldwide. By the end of 2023, the global e-commerce market is expected to reach a total value of $6.3 trillion, with a projected growth rate of 11.17% from 2023 to 2027, resulting in a market volume of </w:t>
      </w:r>
      <w:r w:rsidRPr="0095260A">
        <w:lastRenderedPageBreak/>
        <w:t xml:space="preserve">around $5.56 trillion by 2027 </w:t>
      </w:r>
      <w:r w:rsidR="00EF33C4" w:rsidRPr="0095260A">
        <w:t>[</w:t>
      </w:r>
      <w:r w:rsidRPr="0095260A">
        <w:t>2</w:t>
      </w:r>
      <w:r w:rsidR="00EF33C4" w:rsidRPr="0095260A">
        <w:t>]</w:t>
      </w:r>
      <w:r w:rsidRPr="0095260A">
        <w:t xml:space="preserve">. During the same year, it is anticipated that around 2.64 billion consumers worldwide will have engaged in at least one online purchase, with the global e-commerce market projected to experience an annual growth rate of 8.9% </w:t>
      </w:r>
      <w:r w:rsidR="00EF33C4" w:rsidRPr="0095260A">
        <w:t>[</w:t>
      </w:r>
      <w:r w:rsidRPr="0095260A">
        <w:t>1, 3</w:t>
      </w:r>
      <w:r w:rsidR="00EF33C4" w:rsidRPr="0095260A">
        <w:t>]</w:t>
      </w:r>
      <w:r w:rsidRPr="0095260A">
        <w:t xml:space="preserve">. </w:t>
      </w:r>
      <w:r w:rsidR="00514B49" w:rsidRPr="0095260A">
        <w:t>The peak of global e-commerce growth was observed in 2021 amidst the Covid-19 pandemic, reaching 17.1%. Globally, e-commerce sales are projected to grow by at least 8% per annum in the coming years [3]. The e-commerce retail sector, accounting for 18% of global retail sales in 2020, is expected to represent approximately 22% of global retail sales by 2024 [1].</w:t>
      </w:r>
    </w:p>
    <w:p w14:paraId="2C9D67A9" w14:textId="091E4BFD" w:rsidR="00747D8C" w:rsidRPr="0095260A" w:rsidRDefault="00747D8C" w:rsidP="00747D8C">
      <w:pPr>
        <w:spacing w:line="240" w:lineRule="auto"/>
      </w:pPr>
      <w:r w:rsidRPr="0095260A">
        <w:t xml:space="preserve">China has maintained its position as the global leader in e-commerce sales, contributing to more than 50% of total retail sales worldwide, with online sales in China surpassing the $3 trillion mark in 2022 </w:t>
      </w:r>
      <w:r w:rsidR="00EF33C4" w:rsidRPr="0095260A">
        <w:t>[</w:t>
      </w:r>
      <w:r w:rsidRPr="0095260A">
        <w:t>3</w:t>
      </w:r>
      <w:r w:rsidR="00EF33C4" w:rsidRPr="0095260A">
        <w:t>]</w:t>
      </w:r>
      <w:r w:rsidRPr="0095260A">
        <w:t xml:space="preserve">. Meanwhile, the U.S. e-commerce market is predicted to exceed $940.9 billion by 2023, representing slightly over one-third of China's total e-commerce market </w:t>
      </w:r>
      <w:r w:rsidR="00EF33C4" w:rsidRPr="0095260A">
        <w:t>[</w:t>
      </w:r>
      <w:r w:rsidRPr="0095260A">
        <w:t>1</w:t>
      </w:r>
      <w:r w:rsidR="00EF33C4" w:rsidRPr="0095260A">
        <w:t>]</w:t>
      </w:r>
      <w:r w:rsidRPr="0095260A">
        <w:t xml:space="preserve">. </w:t>
      </w:r>
    </w:p>
    <w:p w14:paraId="2D9E7C70" w14:textId="2B71C744" w:rsidR="00747D8C" w:rsidRPr="0095260A" w:rsidRDefault="00747D8C" w:rsidP="00747D8C">
      <w:pPr>
        <w:spacing w:line="240" w:lineRule="auto"/>
      </w:pPr>
      <w:r w:rsidRPr="0095260A">
        <w:t xml:space="preserve">Across the Middle East and North Africa (MENA) region, 91% of consumers make online purchases, and 70% prefer digital payment methods </w:t>
      </w:r>
      <w:r w:rsidR="00EF33C4" w:rsidRPr="0095260A">
        <w:t>[</w:t>
      </w:r>
      <w:r w:rsidRPr="0095260A">
        <w:t>4</w:t>
      </w:r>
      <w:r w:rsidR="00EF33C4" w:rsidRPr="0095260A">
        <w:t>]</w:t>
      </w:r>
      <w:r w:rsidRPr="0095260A">
        <w:t xml:space="preserve">. The e-commerce sector in the Middle East is expected to achieve a market volume of US$50 billion by 2025. This growth is supported by factors such as the widespread adoption of advanced technologies, government initiatives, and a young, technology-savvy population with increasing disposable income </w:t>
      </w:r>
      <w:r w:rsidR="00EF33C4" w:rsidRPr="0095260A">
        <w:t>[</w:t>
      </w:r>
      <w:r w:rsidRPr="0095260A">
        <w:t>4</w:t>
      </w:r>
      <w:r w:rsidR="00EF33C4" w:rsidRPr="0095260A">
        <w:t>]</w:t>
      </w:r>
      <w:r w:rsidRPr="0095260A">
        <w:t>.</w:t>
      </w:r>
    </w:p>
    <w:p w14:paraId="34189773" w14:textId="7894A32C" w:rsidR="00747D8C" w:rsidRPr="0095260A" w:rsidRDefault="00747D8C" w:rsidP="00747D8C">
      <w:pPr>
        <w:spacing w:line="240" w:lineRule="auto"/>
      </w:pPr>
      <w:r w:rsidRPr="0095260A">
        <w:t xml:space="preserve">The United Arab Emirates (UAE), with its rapid technological advancement and high Internet penetration rate, has emerged as a prominent hub for online shopping in the Middle East. Previous studies have highlighted the growth potential and dynamics of e-commerce in the UAE, emphasizing the importance of understanding the underlying factors that contribute to the success of online platforms </w:t>
      </w:r>
      <w:r w:rsidR="00EF33C4" w:rsidRPr="0095260A">
        <w:t>[</w:t>
      </w:r>
      <w:r w:rsidRPr="0095260A">
        <w:t>5</w:t>
      </w:r>
      <w:r w:rsidR="00EF33C4" w:rsidRPr="0095260A">
        <w:t>]</w:t>
      </w:r>
      <w:r w:rsidRPr="0095260A">
        <w:t xml:space="preserve">. The Business-to-Consumer (B2C) e-commerce market in </w:t>
      </w:r>
      <w:r w:rsidR="00061675" w:rsidRPr="0095260A">
        <w:t>the country</w:t>
      </w:r>
      <w:r w:rsidRPr="0095260A">
        <w:t xml:space="preserve"> has been projected to grow significantly in recent years </w:t>
      </w:r>
      <w:r w:rsidR="00EF33C4" w:rsidRPr="0095260A">
        <w:t>[</w:t>
      </w:r>
      <w:r w:rsidRPr="0095260A">
        <w:t>6</w:t>
      </w:r>
      <w:r w:rsidR="00EF33C4" w:rsidRPr="0095260A">
        <w:t>][</w:t>
      </w:r>
      <w:r w:rsidRPr="0095260A">
        <w:t>7</w:t>
      </w:r>
      <w:r w:rsidR="00EF33C4" w:rsidRPr="0095260A">
        <w:t>]</w:t>
      </w:r>
      <w:r w:rsidRPr="0095260A">
        <w:t xml:space="preserve">. </w:t>
      </w:r>
      <w:r w:rsidR="00061675" w:rsidRPr="0095260A">
        <w:t>UAE</w:t>
      </w:r>
      <w:r w:rsidRPr="0095260A">
        <w:t xml:space="preserve"> is positioned as the 27</w:t>
      </w:r>
      <w:r w:rsidRPr="0095260A">
        <w:rPr>
          <w:vertAlign w:val="superscript"/>
        </w:rPr>
        <w:t>th</w:t>
      </w:r>
      <w:r w:rsidR="00514B49" w:rsidRPr="0095260A">
        <w:t xml:space="preserve"> </w:t>
      </w:r>
      <w:r w:rsidRPr="0095260A">
        <w:t xml:space="preserve">largest e-commerce market in the world and is anticipated to generate revenue of approximately US$10,205.5 million by the year 2023 </w:t>
      </w:r>
      <w:r w:rsidR="00EF33C4" w:rsidRPr="0095260A">
        <w:t>[</w:t>
      </w:r>
      <w:r w:rsidRPr="0095260A">
        <w:t>8</w:t>
      </w:r>
      <w:r w:rsidR="00EF33C4" w:rsidRPr="0095260A">
        <w:t>]</w:t>
      </w:r>
      <w:r w:rsidRPr="0095260A">
        <w:t>. Recognizing the significance of e-commerce and e-commerce platforms, this research aims to conduct a comprehensive analysis of the top 10,000 e-commerce websites operating in the UAE, examining aspects such as domain-naming patterns and product categories.</w:t>
      </w:r>
    </w:p>
    <w:p w14:paraId="2E76EA8C" w14:textId="14E75A81" w:rsidR="00747D8C" w:rsidRPr="0095260A" w:rsidRDefault="00747D8C" w:rsidP="00747D8C">
      <w:pPr>
        <w:spacing w:line="240" w:lineRule="auto"/>
      </w:pPr>
      <w:r w:rsidRPr="0095260A">
        <w:t xml:space="preserve">To the best of our knowledge, the present study is the first of its kind, </w:t>
      </w:r>
      <w:r w:rsidR="00514B49" w:rsidRPr="0095260A">
        <w:t>by</w:t>
      </w:r>
      <w:r w:rsidRPr="0095260A">
        <w:t xml:space="preserve"> present</w:t>
      </w:r>
      <w:r w:rsidR="00514B49" w:rsidRPr="0095260A">
        <w:t>ing</w:t>
      </w:r>
      <w:r w:rsidRPr="0095260A">
        <w:t xml:space="preserve"> a methodology and sample country-specific analysis that can guide two critical strategic planning problems that every e-commerce start-up across the globe faces:</w:t>
      </w:r>
    </w:p>
    <w:p w14:paraId="2310D98C" w14:textId="77777777" w:rsidR="00747D8C" w:rsidRPr="0095260A" w:rsidRDefault="00747D8C" w:rsidP="00747D8C">
      <w:pPr>
        <w:pStyle w:val="ListParagraph"/>
        <w:numPr>
          <w:ilvl w:val="0"/>
          <w:numId w:val="12"/>
        </w:numPr>
        <w:spacing w:line="240" w:lineRule="auto"/>
      </w:pPr>
      <w:r w:rsidRPr="0095260A">
        <w:t>What should be our domain name?</w:t>
      </w:r>
    </w:p>
    <w:p w14:paraId="58769DC9" w14:textId="77777777" w:rsidR="00747D8C" w:rsidRPr="0095260A" w:rsidRDefault="00747D8C" w:rsidP="00747D8C">
      <w:pPr>
        <w:pStyle w:val="ListParagraph"/>
        <w:numPr>
          <w:ilvl w:val="0"/>
          <w:numId w:val="12"/>
        </w:numPr>
        <w:spacing w:line="240" w:lineRule="auto"/>
      </w:pPr>
      <w:r w:rsidRPr="0095260A">
        <w:t>Which product categories should we offer?</w:t>
      </w:r>
    </w:p>
    <w:p w14:paraId="598FFE43" w14:textId="2CF91863" w:rsidR="00747D8C" w:rsidRPr="0095260A" w:rsidRDefault="00747D8C" w:rsidP="00747D8C">
      <w:pPr>
        <w:spacing w:line="240" w:lineRule="auto"/>
      </w:pPr>
      <w:r w:rsidRPr="0095260A">
        <w:t>The contributions of the current study become more pronounced when related literature is reviewed</w:t>
      </w:r>
      <w:r w:rsidR="005352D9" w:rsidRPr="0095260A">
        <w:t>, as presented next</w:t>
      </w:r>
      <w:r w:rsidRPr="0095260A">
        <w:t>.</w:t>
      </w:r>
    </w:p>
    <w:p w14:paraId="041A2CCE" w14:textId="77777777" w:rsidR="00747D8C" w:rsidRDefault="00747D8C" w:rsidP="00747D8C">
      <w:pPr>
        <w:pStyle w:val="heading1"/>
        <w:spacing w:line="240" w:lineRule="auto"/>
      </w:pPr>
      <w:r>
        <w:t>Literature Review</w:t>
      </w:r>
    </w:p>
    <w:p w14:paraId="7B3593DA" w14:textId="77777777" w:rsidR="00747D8C" w:rsidRPr="003E4B54" w:rsidRDefault="00747D8C" w:rsidP="00747D8C">
      <w:pPr>
        <w:pStyle w:val="heading2"/>
        <w:spacing w:line="240" w:lineRule="auto"/>
      </w:pPr>
      <w:r>
        <w:t>E-commerce Research</w:t>
      </w:r>
    </w:p>
    <w:p w14:paraId="51761B2A" w14:textId="77777777" w:rsidR="00747D8C" w:rsidRPr="0095260A" w:rsidRDefault="00747D8C" w:rsidP="00747D8C">
      <w:pPr>
        <w:spacing w:line="240" w:lineRule="auto"/>
        <w:ind w:firstLine="0"/>
      </w:pPr>
      <w:r w:rsidRPr="0095260A">
        <w:t xml:space="preserve">In the e-commerce sector, the quality and relevance of data plays a pivotal role and has witnessed exponential growth globally, with emerging markets demonstrating </w:t>
      </w:r>
      <w:r w:rsidRPr="0095260A">
        <w:lastRenderedPageBreak/>
        <w:t>high potential. While there is a rich body of research on e-commerce, we cite only a few studies that provide a taste of types of research streams.</w:t>
      </w:r>
    </w:p>
    <w:p w14:paraId="3AFCF599" w14:textId="3075CD4E" w:rsidR="00747D8C" w:rsidRPr="0095260A" w:rsidRDefault="00747D8C" w:rsidP="00747D8C">
      <w:pPr>
        <w:spacing w:line="240" w:lineRule="auto"/>
      </w:pPr>
      <w:proofErr w:type="spellStart"/>
      <w:r w:rsidRPr="0095260A">
        <w:t>Farhangmehr</w:t>
      </w:r>
      <w:proofErr w:type="spellEnd"/>
      <w:r w:rsidRPr="0095260A">
        <w:t xml:space="preserve"> </w:t>
      </w:r>
      <w:r w:rsidRPr="0095260A">
        <w:rPr>
          <w:i/>
        </w:rPr>
        <w:t>et al</w:t>
      </w:r>
      <w:r w:rsidRPr="0095260A">
        <w:t xml:space="preserve">. </w:t>
      </w:r>
      <w:r w:rsidR="00EF33C4" w:rsidRPr="0095260A">
        <w:t>[</w:t>
      </w:r>
      <w:r w:rsidR="009D7E18" w:rsidRPr="0095260A">
        <w:t>9</w:t>
      </w:r>
      <w:r w:rsidR="00EF33C4" w:rsidRPr="0095260A">
        <w:t>]</w:t>
      </w:r>
      <w:r w:rsidRPr="0095260A">
        <w:t xml:space="preserve"> compared consumer perceptions of hypermarkets and traditional stores to highlight the factors that influence retail format selection. Their findings revealed that product assortment, quality, and flexibility in payment options are key drivers in Portugal. Although insightful, their study was limited to store formats rather than online channels. Yadav and Pathak </w:t>
      </w:r>
      <w:r w:rsidR="00EF33C4" w:rsidRPr="0095260A">
        <w:t>[</w:t>
      </w:r>
      <w:r w:rsidRPr="0095260A">
        <w:t>1</w:t>
      </w:r>
      <w:r w:rsidR="009D7E18" w:rsidRPr="0095260A">
        <w:t>0</w:t>
      </w:r>
      <w:r w:rsidR="00EF33C4" w:rsidRPr="0095260A">
        <w:t>]</w:t>
      </w:r>
      <w:r w:rsidRPr="0095260A">
        <w:t xml:space="preserve"> stressed that understanding these emerging trends is critical for retailers aiming to cater to diverse consumer segments through targeted assortments, recommendations, and promotions.</w:t>
      </w:r>
    </w:p>
    <w:p w14:paraId="6F85E580" w14:textId="0193C28E" w:rsidR="006B1800" w:rsidRPr="0095260A" w:rsidRDefault="000E4A4E" w:rsidP="00747D8C">
      <w:pPr>
        <w:spacing w:line="240" w:lineRule="auto"/>
      </w:pPr>
      <w:r w:rsidRPr="0095260A">
        <w:t>One can find detailed literature review papers on various streams of e-commerce research, including social commerce [</w:t>
      </w:r>
      <w:r w:rsidR="009D7E18" w:rsidRPr="0095260A">
        <w:t>11</w:t>
      </w:r>
      <w:r w:rsidRPr="0095260A">
        <w:t>], information disclosure [</w:t>
      </w:r>
      <w:r w:rsidR="009D7E18" w:rsidRPr="0095260A">
        <w:t>12</w:t>
      </w:r>
      <w:r w:rsidRPr="0095260A">
        <w:t>], cross-border e-commerce [</w:t>
      </w:r>
      <w:r w:rsidR="009D7E18" w:rsidRPr="0095260A">
        <w:t>13</w:t>
      </w:r>
      <w:r w:rsidRPr="0095260A">
        <w:t>], consumer-to-consumer e-commerce [</w:t>
      </w:r>
      <w:r w:rsidR="009D7E18" w:rsidRPr="0095260A">
        <w:t>14</w:t>
      </w:r>
      <w:r w:rsidRPr="0095260A">
        <w:t>], after-sales attributes [</w:t>
      </w:r>
      <w:r w:rsidR="009D7E18" w:rsidRPr="0095260A">
        <w:t>15</w:t>
      </w:r>
      <w:r w:rsidRPr="0095260A">
        <w:t>], e-commerce and globalization [</w:t>
      </w:r>
      <w:r w:rsidR="009D7E18" w:rsidRPr="0095260A">
        <w:t>16</w:t>
      </w:r>
      <w:r w:rsidRPr="0095260A">
        <w:t xml:space="preserve">], besides many other reviews. </w:t>
      </w:r>
    </w:p>
    <w:p w14:paraId="281230D9" w14:textId="3F82B37A" w:rsidR="000E4A4E" w:rsidRPr="0095260A" w:rsidRDefault="000E4A4E" w:rsidP="00747D8C">
      <w:pPr>
        <w:spacing w:line="240" w:lineRule="auto"/>
      </w:pPr>
      <w:r w:rsidRPr="0095260A">
        <w:t>Furthermore, one can obtain holistic perspective of different aspects of e-commerce and e-commerce research through taxonomy papers, including taxonomies for privacy concerns [</w:t>
      </w:r>
      <w:r w:rsidR="009D7E18" w:rsidRPr="0095260A">
        <w:t>17</w:t>
      </w:r>
      <w:r w:rsidRPr="0095260A">
        <w:t>], strategic grouping [</w:t>
      </w:r>
      <w:r w:rsidR="009D7E18" w:rsidRPr="0095260A">
        <w:t>18</w:t>
      </w:r>
      <w:r w:rsidRPr="0095260A">
        <w:t>], queries and search behavior [</w:t>
      </w:r>
      <w:r w:rsidR="009D7E18" w:rsidRPr="0095260A">
        <w:t>19</w:t>
      </w:r>
      <w:r w:rsidRPr="0095260A">
        <w:t>], products [</w:t>
      </w:r>
      <w:r w:rsidR="009D7E18" w:rsidRPr="0095260A">
        <w:t>20</w:t>
      </w:r>
      <w:r w:rsidRPr="0095260A">
        <w:t>], security challenges [</w:t>
      </w:r>
      <w:r w:rsidR="009D7E18" w:rsidRPr="0095260A">
        <w:t>21</w:t>
      </w:r>
      <w:r w:rsidRPr="0095260A">
        <w:t>], content creator-based business models [</w:t>
      </w:r>
      <w:r w:rsidR="009D7E18" w:rsidRPr="0095260A">
        <w:t>22</w:t>
      </w:r>
      <w:r w:rsidRPr="0095260A">
        <w:t>], and e-commerce concept labels [</w:t>
      </w:r>
      <w:r w:rsidR="009D7E18" w:rsidRPr="0095260A">
        <w:t>23</w:t>
      </w:r>
      <w:r w:rsidRPr="0095260A">
        <w:t>], besides many other taxonomies.</w:t>
      </w:r>
    </w:p>
    <w:p w14:paraId="1566B22C" w14:textId="77777777" w:rsidR="00747D8C" w:rsidRPr="003E4B54" w:rsidRDefault="00747D8C" w:rsidP="00747D8C">
      <w:pPr>
        <w:pStyle w:val="heading2"/>
        <w:spacing w:line="240" w:lineRule="auto"/>
      </w:pPr>
      <w:r>
        <w:t>Research for UAE</w:t>
      </w:r>
    </w:p>
    <w:p w14:paraId="1FCDEF51" w14:textId="2D014286" w:rsidR="00747D8C" w:rsidRPr="0095260A" w:rsidRDefault="00747D8C" w:rsidP="00747D8C">
      <w:pPr>
        <w:spacing w:line="240" w:lineRule="auto"/>
        <w:ind w:firstLine="0"/>
      </w:pPr>
      <w:r w:rsidRPr="0095260A">
        <w:t xml:space="preserve">Studies have highlighted the increasing adoption of online shopping among consumers in the Middle East, attributing it to increased internet penetration, smartphone usage, and changing lifestyles </w:t>
      </w:r>
      <w:r w:rsidR="00EF33C4" w:rsidRPr="0095260A">
        <w:t>[</w:t>
      </w:r>
      <w:r w:rsidRPr="0095260A">
        <w:t>5</w:t>
      </w:r>
      <w:r w:rsidR="00EF33C4" w:rsidRPr="0095260A">
        <w:t>]</w:t>
      </w:r>
      <w:r w:rsidRPr="0095260A">
        <w:t xml:space="preserve">. </w:t>
      </w:r>
    </w:p>
    <w:p w14:paraId="3A62CC25" w14:textId="3F5D1D36" w:rsidR="00747D8C" w:rsidRPr="0095260A" w:rsidRDefault="00747D8C" w:rsidP="00747D8C">
      <w:pPr>
        <w:spacing w:line="240" w:lineRule="auto"/>
      </w:pPr>
      <w:r w:rsidRPr="0095260A">
        <w:t xml:space="preserve">Several studies have focused on the e-commerce sector in the UAE: According to </w:t>
      </w:r>
      <w:proofErr w:type="spellStart"/>
      <w:r w:rsidRPr="0095260A">
        <w:t>Alzaabi</w:t>
      </w:r>
      <w:proofErr w:type="spellEnd"/>
      <w:r w:rsidRPr="0095260A">
        <w:t xml:space="preserve"> </w:t>
      </w:r>
      <w:r w:rsidRPr="0095260A">
        <w:rPr>
          <w:i/>
        </w:rPr>
        <w:t>et al</w:t>
      </w:r>
      <w:r w:rsidRPr="0095260A">
        <w:t xml:space="preserve">. </w:t>
      </w:r>
      <w:r w:rsidR="00EF33C4" w:rsidRPr="0095260A">
        <w:t>[</w:t>
      </w:r>
      <w:r w:rsidRPr="0095260A">
        <w:t>5</w:t>
      </w:r>
      <w:r w:rsidR="00EF33C4" w:rsidRPr="0095260A">
        <w:t>]</w:t>
      </w:r>
      <w:r w:rsidRPr="0095260A">
        <w:t xml:space="preserve">, several factors have contributed to the UAE’s e-commerce boom, including technological readiness, logistics infrastructure, increased selection, and competitive pricing, compared to brick-and-mortar stores. However, gaps persist in understanding the specific categories and products driving online sales. Dhanapal </w:t>
      </w:r>
      <w:r w:rsidRPr="0095260A">
        <w:rPr>
          <w:i/>
        </w:rPr>
        <w:t>et al</w:t>
      </w:r>
      <w:r w:rsidRPr="0095260A">
        <w:t xml:space="preserve">. </w:t>
      </w:r>
      <w:r w:rsidR="00EF33C4" w:rsidRPr="0095260A">
        <w:t>[</w:t>
      </w:r>
      <w:r w:rsidR="009D7E18" w:rsidRPr="0095260A">
        <w:t>24</w:t>
      </w:r>
      <w:r w:rsidR="00EF33C4" w:rsidRPr="0095260A">
        <w:t>]</w:t>
      </w:r>
      <w:r w:rsidRPr="0095260A">
        <w:t xml:space="preserve"> attempted to segment online shoppers in the UAE based on their demographic attributes and concluded that different age groups demonstrate distinct motivations and preferences. However, their study did not examine the market composition. </w:t>
      </w:r>
    </w:p>
    <w:p w14:paraId="7B3E797C" w14:textId="77777777" w:rsidR="00747D8C" w:rsidRPr="003E4B54" w:rsidRDefault="00747D8C" w:rsidP="00747D8C">
      <w:pPr>
        <w:pStyle w:val="heading2"/>
        <w:spacing w:line="240" w:lineRule="auto"/>
      </w:pPr>
      <w:r>
        <w:t>Analysis of Domain Names</w:t>
      </w:r>
    </w:p>
    <w:p w14:paraId="26C78648" w14:textId="23E1FBC7" w:rsidR="00747D8C" w:rsidRPr="0095260A" w:rsidRDefault="00747D8C" w:rsidP="00747D8C">
      <w:pPr>
        <w:spacing w:line="240" w:lineRule="auto"/>
        <w:ind w:firstLine="0"/>
        <w:rPr>
          <w:highlight w:val="yellow"/>
        </w:rPr>
      </w:pPr>
      <w:r w:rsidRPr="0095260A">
        <w:t xml:space="preserve">Research on the analysis of domain names typically focuses on cyber security aspects </w:t>
      </w:r>
      <w:r w:rsidR="00EF33C4" w:rsidRPr="0095260A">
        <w:t>[</w:t>
      </w:r>
      <w:r w:rsidR="009D7E18" w:rsidRPr="0095260A">
        <w:t>25</w:t>
      </w:r>
      <w:r w:rsidR="00EF33C4" w:rsidRPr="0095260A">
        <w:t>][</w:t>
      </w:r>
      <w:r w:rsidR="009D7E18" w:rsidRPr="0095260A">
        <w:t>26</w:t>
      </w:r>
      <w:r w:rsidR="00EF33C4" w:rsidRPr="0095260A">
        <w:t>]</w:t>
      </w:r>
      <w:r w:rsidRPr="0095260A">
        <w:t xml:space="preserve"> or the detection of certain types of domains, such as gambling sites </w:t>
      </w:r>
      <w:r w:rsidR="00EF33C4" w:rsidRPr="0095260A">
        <w:t>[</w:t>
      </w:r>
      <w:r w:rsidR="009D7E18" w:rsidRPr="0095260A">
        <w:t>27</w:t>
      </w:r>
      <w:r w:rsidR="00EF33C4" w:rsidRPr="0095260A">
        <w:t>]</w:t>
      </w:r>
      <w:r w:rsidRPr="0095260A">
        <w:t xml:space="preserve">. </w:t>
      </w:r>
      <w:r w:rsidR="00EF33C4" w:rsidRPr="0095260A">
        <w:t>[</w:t>
      </w:r>
      <w:r w:rsidR="009D7E18" w:rsidRPr="0095260A">
        <w:t>25</w:t>
      </w:r>
      <w:r w:rsidR="00EF33C4" w:rsidRPr="0095260A">
        <w:t>]</w:t>
      </w:r>
      <w:r w:rsidRPr="0095260A">
        <w:t xml:space="preserve"> uses data from Internet protocol Domain Name Systems (DNS) to develop a system that automatically detects malicious activity as early warning signals for potential cyber-attacks. Using a large dataset, </w:t>
      </w:r>
      <w:r w:rsidR="00EF33C4" w:rsidRPr="0095260A">
        <w:t>[</w:t>
      </w:r>
      <w:r w:rsidR="009D7E18" w:rsidRPr="0095260A">
        <w:t>26</w:t>
      </w:r>
      <w:r w:rsidR="00EF33C4" w:rsidRPr="0095260A">
        <w:t>]</w:t>
      </w:r>
      <w:r w:rsidRPr="0095260A">
        <w:t xml:space="preserve"> showed that the current privacy-preserving enhancements currently under standardization, such as </w:t>
      </w:r>
      <w:proofErr w:type="spellStart"/>
      <w:r w:rsidRPr="0095260A">
        <w:t>DoH</w:t>
      </w:r>
      <w:proofErr w:type="spellEnd"/>
      <w:r w:rsidRPr="0095260A">
        <w:t xml:space="preserve"> and </w:t>
      </w:r>
      <w:proofErr w:type="spellStart"/>
      <w:r w:rsidRPr="0095260A">
        <w:t>eSNI</w:t>
      </w:r>
      <w:proofErr w:type="spellEnd"/>
      <w:r w:rsidRPr="0095260A">
        <w:t xml:space="preserve">, are not very effective and call for further actions to avoid retrieving the names of servers. According to </w:t>
      </w:r>
      <w:r w:rsidR="00EF33C4" w:rsidRPr="0095260A">
        <w:t>[</w:t>
      </w:r>
      <w:r w:rsidR="009D7E18" w:rsidRPr="0095260A">
        <w:t>27</w:t>
      </w:r>
      <w:r w:rsidR="00EF33C4" w:rsidRPr="0095260A">
        <w:t>]</w:t>
      </w:r>
      <w:r w:rsidRPr="0095260A">
        <w:t xml:space="preserve">, most of the training datasets for gambling domain names (GDN) in previous work used GND blacklists from publicly available sources; however, their accuracy and authenticity have not been verified, and they did not provide satisfactory classification results. To improve these results, the authors propose a certified and textual analysis-based classification method (CT-GDNC) to classify GDN training </w:t>
      </w:r>
      <w:r w:rsidRPr="0095260A">
        <w:lastRenderedPageBreak/>
        <w:t xml:space="preserve">data, which proves to be significant and results in better accuracy compared to previous methods. </w:t>
      </w:r>
    </w:p>
    <w:p w14:paraId="4F7731ED" w14:textId="6508F759" w:rsidR="00747D8C" w:rsidRPr="0095260A" w:rsidRDefault="00747D8C" w:rsidP="00747D8C">
      <w:pPr>
        <w:spacing w:line="240" w:lineRule="auto"/>
      </w:pPr>
      <w:r w:rsidRPr="0095260A">
        <w:t xml:space="preserve">To assess the role of e-commerce websites in metro and small business resilience during the Covid-19 pandemic, </w:t>
      </w:r>
      <w:r w:rsidR="00EF33C4" w:rsidRPr="0095260A">
        <w:t>[</w:t>
      </w:r>
      <w:r w:rsidR="009D7E18" w:rsidRPr="0095260A">
        <w:t>28</w:t>
      </w:r>
      <w:r w:rsidR="00EF33C4" w:rsidRPr="0095260A">
        <w:t>]</w:t>
      </w:r>
      <w:r w:rsidRPr="0095260A">
        <w:t xml:space="preserve"> used a new source of population data on the domain name host. The findings imply that metros with high concentrations of small businesses with online presence experienced more positive economic perceptions and outcomes from April to December 2020, suggesting that digitally enabled small businesses played an important role in local economic resilience. For </w:t>
      </w:r>
      <w:r w:rsidR="00EF33C4" w:rsidRPr="0095260A">
        <w:t>[</w:t>
      </w:r>
      <w:r w:rsidR="000B6964" w:rsidRPr="0095260A">
        <w:t>29</w:t>
      </w:r>
      <w:r w:rsidR="00EF33C4" w:rsidRPr="0095260A">
        <w:t>]</w:t>
      </w:r>
      <w:r w:rsidRPr="0095260A">
        <w:t xml:space="preserve">, the web domain name value depended on its ability to attract web traffic (visitors) and transform them into cash-generating customers. This confirms the results in </w:t>
      </w:r>
      <w:r w:rsidR="00EF33C4" w:rsidRPr="0095260A">
        <w:t>[</w:t>
      </w:r>
      <w:r w:rsidR="000B6964" w:rsidRPr="0095260A">
        <w:t>30</w:t>
      </w:r>
      <w:r w:rsidR="00EF33C4" w:rsidRPr="0095260A">
        <w:t>]</w:t>
      </w:r>
      <w:r w:rsidRPr="0095260A">
        <w:t xml:space="preserve"> on the importance of incorporating search engine optimization (SEO) techniques into websites, as it contributes to improving brand visibility and, therefore, increases the odds of being noticed by future potential customers. </w:t>
      </w:r>
    </w:p>
    <w:p w14:paraId="2AC32CA9" w14:textId="77777777" w:rsidR="00747D8C" w:rsidRPr="003E4B54" w:rsidRDefault="00747D8C" w:rsidP="00747D8C">
      <w:pPr>
        <w:pStyle w:val="heading2"/>
        <w:spacing w:line="240" w:lineRule="auto"/>
      </w:pPr>
      <w:r>
        <w:t>Product Category and Portfolio Management</w:t>
      </w:r>
    </w:p>
    <w:p w14:paraId="1C9527E3" w14:textId="00D5F5E1" w:rsidR="00747D8C" w:rsidRPr="0095260A" w:rsidRDefault="00747D8C" w:rsidP="00747D8C">
      <w:pPr>
        <w:spacing w:line="240" w:lineRule="auto"/>
        <w:ind w:firstLine="0"/>
      </w:pPr>
      <w:r w:rsidRPr="0095260A">
        <w:t xml:space="preserve">Most research on product category and portfolio management focuses on the application of machine learning, natural language processing, deep learning, and neural networks to classify products into different categories. The rapid increase in e-commerce has led to a significant challenge in navigating an abundance of products. To overcome this challenge, </w:t>
      </w:r>
      <w:r w:rsidR="00EF33C4" w:rsidRPr="0095260A">
        <w:t>[</w:t>
      </w:r>
      <w:r w:rsidR="000B6964" w:rsidRPr="0095260A">
        <w:t>31</w:t>
      </w:r>
      <w:r w:rsidR="00EF33C4" w:rsidRPr="0095260A">
        <w:t>]</w:t>
      </w:r>
      <w:r w:rsidRPr="0095260A">
        <w:t xml:space="preserve"> used a natural language processing algorithm (Term Frequency-Inverse Document Frequency) and supervised machine learning techniques (support vector machines) to classify product description data into four categories: electronics, household items, books, and clothing. The results of the research have proven to be significant and could contribute to improving customer experience and overall operational efficiency. </w:t>
      </w:r>
      <w:r w:rsidR="00EF33C4" w:rsidRPr="0095260A">
        <w:t>[</w:t>
      </w:r>
      <w:r w:rsidR="000B6964" w:rsidRPr="0095260A">
        <w:t>32</w:t>
      </w:r>
      <w:r w:rsidR="00EF33C4" w:rsidRPr="0095260A">
        <w:t>]</w:t>
      </w:r>
      <w:r w:rsidRPr="0095260A">
        <w:t xml:space="preserve"> developed a generalized interactive real-time system that provides category recommendations for different e-commerce scenarios. The system then uses a convolutional sequence-to-sequence approach for product category recognition, which is effective and efficient for real-world data. </w:t>
      </w:r>
    </w:p>
    <w:p w14:paraId="2127F6CC" w14:textId="3D832C7D" w:rsidR="00747D8C" w:rsidRPr="0095260A" w:rsidRDefault="00747D8C" w:rsidP="00747D8C">
      <w:pPr>
        <w:spacing w:line="240" w:lineRule="auto"/>
      </w:pPr>
      <w:r w:rsidRPr="0095260A">
        <w:t xml:space="preserve">According to </w:t>
      </w:r>
      <w:r w:rsidR="00EF33C4" w:rsidRPr="0095260A">
        <w:t>[</w:t>
      </w:r>
      <w:r w:rsidR="000B6964" w:rsidRPr="0095260A">
        <w:t>33</w:t>
      </w:r>
      <w:r w:rsidR="00EF33C4" w:rsidRPr="0095260A">
        <w:t>]</w:t>
      </w:r>
      <w:r w:rsidRPr="0095260A">
        <w:t xml:space="preserve">, the top five EU-27 product categories with their respective percentages are: any physical good, 97%; clothes, shoes, or accessories, 68%; physical multimedia (music, DVDs, books, etc.), 34%; any physical goods from private persons, 34%; and deliveries from restaurants, fast food chains, and catering services, 30%. Research on e-commerce category analysis has mostly been conducted using market basket analysis (MBA), which applies the </w:t>
      </w:r>
      <w:proofErr w:type="spellStart"/>
      <w:r w:rsidRPr="0095260A">
        <w:t>Apriori</w:t>
      </w:r>
      <w:proofErr w:type="spellEnd"/>
      <w:r w:rsidRPr="0095260A">
        <w:t xml:space="preserve"> algorithm or other association rule mining algorithms </w:t>
      </w:r>
      <w:r w:rsidR="00EF33C4" w:rsidRPr="0095260A">
        <w:t>[</w:t>
      </w:r>
      <w:r w:rsidR="000B6964" w:rsidRPr="0095260A">
        <w:t>34</w:t>
      </w:r>
      <w:r w:rsidR="00EF33C4" w:rsidRPr="0095260A">
        <w:t>]</w:t>
      </w:r>
      <w:r w:rsidRPr="0095260A">
        <w:t xml:space="preserve"> to unravel the hidden relations between item categories and item sets. In this context, </w:t>
      </w:r>
      <w:r w:rsidR="00EF33C4" w:rsidRPr="0095260A">
        <w:t>[</w:t>
      </w:r>
      <w:r w:rsidR="000B6964" w:rsidRPr="0095260A">
        <w:t>35</w:t>
      </w:r>
      <w:r w:rsidR="00EF33C4" w:rsidRPr="0095260A">
        <w:t>]</w:t>
      </w:r>
      <w:r w:rsidRPr="0095260A">
        <w:t xml:space="preserve"> used K-means clustering-based MBA on UK-domiciled online retailer data to identify distinct patterns for bundling sales recommendations to promote sales and sales. The results show that the categories with the most dominant associative purchase patterns are Bags and Accessories, Decoratives, Homeware and Stationaries. Moreover, Bags and Accessories have </w:t>
      </w:r>
      <w:proofErr w:type="gramStart"/>
      <w:r w:rsidRPr="0095260A">
        <w:t>a large number of</w:t>
      </w:r>
      <w:proofErr w:type="gramEnd"/>
      <w:r w:rsidRPr="0095260A">
        <w:t xml:space="preserve"> outward directing linkages. </w:t>
      </w:r>
      <w:r w:rsidR="00EF33C4" w:rsidRPr="0095260A">
        <w:t>[</w:t>
      </w:r>
      <w:r w:rsidR="000B6964" w:rsidRPr="0095260A">
        <w:t>36</w:t>
      </w:r>
      <w:r w:rsidR="00EF33C4" w:rsidRPr="0095260A">
        <w:t>]</w:t>
      </w:r>
      <w:r w:rsidRPr="0095260A">
        <w:t xml:space="preserve"> applied the </w:t>
      </w:r>
      <w:proofErr w:type="spellStart"/>
      <w:r w:rsidRPr="0095260A">
        <w:t>Apriori</w:t>
      </w:r>
      <w:proofErr w:type="spellEnd"/>
      <w:r w:rsidRPr="0095260A">
        <w:t xml:space="preserve"> algorithm to analyze the Instacart data in the US to generate association rules for a recommender system. The results show that banana is the most preferred item in the data that can easily match strawberries, apples, cucumbers, avocados, and lemons. </w:t>
      </w:r>
    </w:p>
    <w:p w14:paraId="1533C6F4" w14:textId="77777777" w:rsidR="00747D8C" w:rsidRDefault="00747D8C" w:rsidP="00747D8C">
      <w:pPr>
        <w:pStyle w:val="heading1"/>
        <w:spacing w:line="240" w:lineRule="auto"/>
        <w:rPr>
          <w:lang w:val="fr-FR"/>
        </w:rPr>
      </w:pPr>
      <w:proofErr w:type="spellStart"/>
      <w:r>
        <w:rPr>
          <w:lang w:val="fr-FR"/>
        </w:rPr>
        <w:lastRenderedPageBreak/>
        <w:t>Methodology</w:t>
      </w:r>
      <w:proofErr w:type="spellEnd"/>
      <w:r>
        <w:rPr>
          <w:lang w:val="fr-FR"/>
        </w:rPr>
        <w:t xml:space="preserve"> </w:t>
      </w:r>
    </w:p>
    <w:p w14:paraId="29447B01" w14:textId="20C8E0FD" w:rsidR="00747D8C" w:rsidRPr="003E4B54" w:rsidRDefault="00747D8C" w:rsidP="00747D8C">
      <w:pPr>
        <w:pStyle w:val="heading2"/>
        <w:spacing w:line="240" w:lineRule="auto"/>
      </w:pPr>
      <w:bookmarkStart w:id="1" w:name="_Hlk154399850"/>
      <w:r w:rsidRPr="003E4B54">
        <w:t xml:space="preserve">Data </w:t>
      </w:r>
    </w:p>
    <w:p w14:paraId="1A83480F" w14:textId="7705D9BA" w:rsidR="006E4D24" w:rsidRPr="0095260A" w:rsidRDefault="006E4D24" w:rsidP="006E4D24">
      <w:pPr>
        <w:spacing w:line="240" w:lineRule="auto"/>
        <w:ind w:firstLine="0"/>
      </w:pPr>
      <w:r w:rsidRPr="0095260A">
        <w:t xml:space="preserve">Table 1 in this supplement, which was referred to in the paper, lists the names of the attributes of interest (that were considered in this </w:t>
      </w:r>
      <w:proofErr w:type="gramStart"/>
      <w:r w:rsidRPr="0095260A">
        <w:t>particular study</w:t>
      </w:r>
      <w:proofErr w:type="gramEnd"/>
      <w:r w:rsidRPr="0095260A">
        <w:t xml:space="preserve">) in the augmented Dataset E, along with their data type (strings and integer attributes), sample values for a selected observation, and description. </w:t>
      </w:r>
    </w:p>
    <w:p w14:paraId="39702604" w14:textId="0B208AA0" w:rsidR="006E4D24" w:rsidRPr="00EA57F2" w:rsidRDefault="006E4D24" w:rsidP="006E4D24">
      <w:pPr>
        <w:pStyle w:val="Captions"/>
        <w:spacing w:line="240" w:lineRule="auto"/>
        <w:jc w:val="center"/>
        <w:rPr>
          <w:lang w:val="it-IT"/>
        </w:rPr>
      </w:pPr>
      <w:r w:rsidRPr="00311D60">
        <w:rPr>
          <w:b/>
          <w:bCs w:val="0"/>
          <w:lang w:val="it-IT"/>
        </w:rPr>
        <w:t xml:space="preserve">Table </w:t>
      </w:r>
      <w:r w:rsidRPr="00311D60">
        <w:rPr>
          <w:b/>
          <w:bCs w:val="0"/>
        </w:rPr>
        <w:fldChar w:fldCharType="begin"/>
      </w:r>
      <w:r w:rsidRPr="00311D60">
        <w:rPr>
          <w:b/>
          <w:bCs w:val="0"/>
          <w:lang w:val="it-IT"/>
        </w:rPr>
        <w:instrText xml:space="preserve"> SEQ Table \* ARABIC </w:instrText>
      </w:r>
      <w:r w:rsidRPr="00311D60">
        <w:rPr>
          <w:b/>
          <w:bCs w:val="0"/>
        </w:rPr>
        <w:fldChar w:fldCharType="separate"/>
      </w:r>
      <w:r w:rsidR="004B40D4">
        <w:rPr>
          <w:b/>
          <w:bCs w:val="0"/>
          <w:noProof/>
          <w:lang w:val="it-IT"/>
        </w:rPr>
        <w:t>1</w:t>
      </w:r>
      <w:r w:rsidRPr="00311D60">
        <w:rPr>
          <w:b/>
          <w:bCs w:val="0"/>
        </w:rPr>
        <w:fldChar w:fldCharType="end"/>
      </w:r>
      <w:r w:rsidRPr="00311D60">
        <w:rPr>
          <w:b/>
          <w:bCs w:val="0"/>
          <w:lang w:val="it-IT"/>
        </w:rPr>
        <w:t>.</w:t>
      </w:r>
      <w:r w:rsidRPr="00EA57F2">
        <w:rPr>
          <w:lang w:val="it-IT"/>
        </w:rPr>
        <w:t xml:space="preserve"> Data attributes in </w:t>
      </w:r>
      <w:r w:rsidR="003A3F6F">
        <w:rPr>
          <w:lang w:val="it-IT"/>
        </w:rPr>
        <w:t>D</w:t>
      </w:r>
      <w:r w:rsidRPr="00EA57F2">
        <w:rPr>
          <w:lang w:val="it-IT"/>
        </w:rPr>
        <w:t>ataset E</w:t>
      </w:r>
      <w:r w:rsidR="003A3F6F">
        <w:rPr>
          <w:lang w:val="it-IT"/>
        </w:rPr>
        <w:t xml:space="preserve"> that were the focus of the presented research</w:t>
      </w:r>
      <w:r>
        <w:rPr>
          <w:lang w:val="it-IT"/>
        </w:rPr>
        <w:t>.</w:t>
      </w:r>
      <w:r w:rsidR="00642FDE">
        <w:rPr>
          <w:lang w:val="it-IT"/>
        </w:rPr>
        <w:t xml:space="preserve"> </w:t>
      </w:r>
    </w:p>
    <w:tbl>
      <w:tblPr>
        <w:tblW w:w="0" w:type="auto"/>
        <w:jc w:val="center"/>
        <w:tblLayout w:type="fixed"/>
        <w:tblLook w:val="04A0" w:firstRow="1" w:lastRow="0" w:firstColumn="1" w:lastColumn="0" w:noHBand="0" w:noVBand="1"/>
      </w:tblPr>
      <w:tblGrid>
        <w:gridCol w:w="2406"/>
        <w:gridCol w:w="895"/>
        <w:gridCol w:w="1667"/>
        <w:gridCol w:w="2166"/>
      </w:tblGrid>
      <w:tr w:rsidR="006E4D24" w14:paraId="331F9C92" w14:textId="77777777" w:rsidTr="006E4D24">
        <w:trPr>
          <w:trHeight w:val="288"/>
          <w:jc w:val="center"/>
        </w:trPr>
        <w:tc>
          <w:tcPr>
            <w:tcW w:w="2406" w:type="dxa"/>
            <w:tcBorders>
              <w:top w:val="single" w:sz="12" w:space="0" w:color="auto"/>
              <w:bottom w:val="single" w:sz="4" w:space="0" w:color="auto"/>
            </w:tcBorders>
            <w:shd w:val="clear" w:color="auto" w:fill="auto"/>
            <w:vAlign w:val="center"/>
            <w:hideMark/>
          </w:tcPr>
          <w:p w14:paraId="1E6F34A2" w14:textId="77777777" w:rsidR="006E4D24" w:rsidRPr="00CA0478" w:rsidRDefault="006E4D24" w:rsidP="0039477D">
            <w:pPr>
              <w:spacing w:line="240" w:lineRule="auto"/>
              <w:ind w:firstLine="0"/>
              <w:jc w:val="left"/>
              <w:rPr>
                <w:sz w:val="18"/>
                <w:szCs w:val="18"/>
              </w:rPr>
            </w:pPr>
            <w:r w:rsidRPr="00CA0478">
              <w:rPr>
                <w:sz w:val="18"/>
                <w:szCs w:val="18"/>
              </w:rPr>
              <w:t>Name</w:t>
            </w:r>
          </w:p>
        </w:tc>
        <w:tc>
          <w:tcPr>
            <w:tcW w:w="895" w:type="dxa"/>
            <w:tcBorders>
              <w:top w:val="single" w:sz="12" w:space="0" w:color="auto"/>
              <w:bottom w:val="single" w:sz="4" w:space="0" w:color="auto"/>
            </w:tcBorders>
            <w:shd w:val="clear" w:color="auto" w:fill="auto"/>
            <w:vAlign w:val="center"/>
            <w:hideMark/>
          </w:tcPr>
          <w:p w14:paraId="2B42E1C7" w14:textId="77777777" w:rsidR="006E4D24" w:rsidRPr="00CA0478" w:rsidRDefault="006E4D24" w:rsidP="0039477D">
            <w:pPr>
              <w:spacing w:line="240" w:lineRule="auto"/>
              <w:ind w:firstLine="0"/>
              <w:jc w:val="left"/>
              <w:rPr>
                <w:sz w:val="18"/>
                <w:szCs w:val="18"/>
              </w:rPr>
            </w:pPr>
            <w:r w:rsidRPr="00CA0478">
              <w:rPr>
                <w:sz w:val="18"/>
                <w:szCs w:val="18"/>
              </w:rPr>
              <w:t>Data Type (Role)</w:t>
            </w:r>
          </w:p>
        </w:tc>
        <w:tc>
          <w:tcPr>
            <w:tcW w:w="1667" w:type="dxa"/>
            <w:tcBorders>
              <w:top w:val="single" w:sz="12" w:space="0" w:color="auto"/>
              <w:bottom w:val="single" w:sz="4" w:space="0" w:color="auto"/>
            </w:tcBorders>
            <w:shd w:val="clear" w:color="auto" w:fill="auto"/>
            <w:vAlign w:val="center"/>
            <w:hideMark/>
          </w:tcPr>
          <w:p w14:paraId="3FDC483D" w14:textId="77777777" w:rsidR="006E4D24" w:rsidRPr="00CA0478" w:rsidRDefault="006E4D24" w:rsidP="0039477D">
            <w:pPr>
              <w:spacing w:line="240" w:lineRule="auto"/>
              <w:ind w:firstLine="0"/>
              <w:jc w:val="left"/>
              <w:rPr>
                <w:sz w:val="18"/>
                <w:szCs w:val="18"/>
              </w:rPr>
            </w:pPr>
            <w:r w:rsidRPr="00CA0478">
              <w:rPr>
                <w:sz w:val="18"/>
                <w:szCs w:val="18"/>
              </w:rPr>
              <w:t>Sample Value</w:t>
            </w:r>
          </w:p>
        </w:tc>
        <w:tc>
          <w:tcPr>
            <w:tcW w:w="2166" w:type="dxa"/>
            <w:tcBorders>
              <w:top w:val="single" w:sz="12" w:space="0" w:color="auto"/>
              <w:bottom w:val="single" w:sz="4" w:space="0" w:color="auto"/>
            </w:tcBorders>
            <w:shd w:val="clear" w:color="auto" w:fill="auto"/>
            <w:vAlign w:val="center"/>
            <w:hideMark/>
          </w:tcPr>
          <w:p w14:paraId="00CC27CD" w14:textId="77777777" w:rsidR="006E4D24" w:rsidRPr="00CA0478" w:rsidRDefault="006E4D24" w:rsidP="0039477D">
            <w:pPr>
              <w:spacing w:line="240" w:lineRule="auto"/>
              <w:ind w:firstLine="0"/>
              <w:jc w:val="left"/>
              <w:rPr>
                <w:sz w:val="18"/>
                <w:szCs w:val="18"/>
              </w:rPr>
            </w:pPr>
            <w:r w:rsidRPr="00CA0478">
              <w:rPr>
                <w:sz w:val="18"/>
                <w:szCs w:val="18"/>
              </w:rPr>
              <w:t>Description</w:t>
            </w:r>
          </w:p>
        </w:tc>
      </w:tr>
      <w:tr w:rsidR="006E4D24" w14:paraId="69B963DF" w14:textId="77777777" w:rsidTr="006E4D24">
        <w:trPr>
          <w:trHeight w:val="404"/>
          <w:jc w:val="center"/>
        </w:trPr>
        <w:tc>
          <w:tcPr>
            <w:tcW w:w="2406" w:type="dxa"/>
            <w:tcBorders>
              <w:top w:val="single" w:sz="4" w:space="0" w:color="auto"/>
            </w:tcBorders>
            <w:shd w:val="clear" w:color="auto" w:fill="auto"/>
            <w:vAlign w:val="center"/>
            <w:hideMark/>
          </w:tcPr>
          <w:p w14:paraId="5EC65040" w14:textId="77777777" w:rsidR="006E4D24" w:rsidRPr="00CA0478" w:rsidRDefault="006E4D24" w:rsidP="0039477D">
            <w:pPr>
              <w:spacing w:line="240" w:lineRule="auto"/>
              <w:ind w:firstLine="0"/>
              <w:jc w:val="left"/>
              <w:rPr>
                <w:sz w:val="18"/>
                <w:szCs w:val="18"/>
              </w:rPr>
            </w:pPr>
            <w:r w:rsidRPr="00CA0478">
              <w:rPr>
                <w:sz w:val="18"/>
                <w:szCs w:val="18"/>
              </w:rPr>
              <w:t>ID</w:t>
            </w:r>
          </w:p>
        </w:tc>
        <w:tc>
          <w:tcPr>
            <w:tcW w:w="895" w:type="dxa"/>
            <w:tcBorders>
              <w:top w:val="single" w:sz="4" w:space="0" w:color="auto"/>
            </w:tcBorders>
            <w:shd w:val="clear" w:color="auto" w:fill="auto"/>
            <w:vAlign w:val="center"/>
            <w:hideMark/>
          </w:tcPr>
          <w:p w14:paraId="790189F7" w14:textId="77777777" w:rsidR="006E4D24" w:rsidRPr="00CA0478" w:rsidRDefault="006E4D24" w:rsidP="0039477D">
            <w:pPr>
              <w:spacing w:line="240" w:lineRule="auto"/>
              <w:ind w:firstLine="0"/>
              <w:jc w:val="left"/>
              <w:rPr>
                <w:sz w:val="18"/>
                <w:szCs w:val="18"/>
              </w:rPr>
            </w:pPr>
            <w:r w:rsidRPr="00CA0478">
              <w:rPr>
                <w:sz w:val="18"/>
                <w:szCs w:val="18"/>
              </w:rPr>
              <w:t>integer (key)</w:t>
            </w:r>
          </w:p>
        </w:tc>
        <w:tc>
          <w:tcPr>
            <w:tcW w:w="1667" w:type="dxa"/>
            <w:tcBorders>
              <w:top w:val="single" w:sz="4" w:space="0" w:color="auto"/>
            </w:tcBorders>
            <w:shd w:val="clear" w:color="auto" w:fill="auto"/>
            <w:vAlign w:val="center"/>
            <w:hideMark/>
          </w:tcPr>
          <w:p w14:paraId="4B16C1AA" w14:textId="77777777" w:rsidR="006E4D24" w:rsidRPr="00CA0478" w:rsidRDefault="006E4D24" w:rsidP="0039477D">
            <w:pPr>
              <w:spacing w:line="240" w:lineRule="auto"/>
              <w:ind w:firstLine="0"/>
              <w:jc w:val="left"/>
              <w:rPr>
                <w:sz w:val="18"/>
                <w:szCs w:val="18"/>
              </w:rPr>
            </w:pPr>
            <w:r w:rsidRPr="00CA0478">
              <w:rPr>
                <w:sz w:val="18"/>
                <w:szCs w:val="18"/>
              </w:rPr>
              <w:t>13779</w:t>
            </w:r>
          </w:p>
        </w:tc>
        <w:tc>
          <w:tcPr>
            <w:tcW w:w="2166" w:type="dxa"/>
            <w:tcBorders>
              <w:top w:val="single" w:sz="4" w:space="0" w:color="auto"/>
            </w:tcBorders>
            <w:shd w:val="clear" w:color="auto" w:fill="auto"/>
            <w:vAlign w:val="center"/>
            <w:hideMark/>
          </w:tcPr>
          <w:p w14:paraId="43107731" w14:textId="77777777" w:rsidR="006E4D24" w:rsidRPr="00CA0478" w:rsidRDefault="006E4D24" w:rsidP="0039477D">
            <w:pPr>
              <w:spacing w:line="240" w:lineRule="auto"/>
              <w:ind w:firstLine="0"/>
              <w:jc w:val="left"/>
              <w:rPr>
                <w:sz w:val="18"/>
                <w:szCs w:val="18"/>
              </w:rPr>
            </w:pPr>
            <w:r w:rsidRPr="00CA0478">
              <w:rPr>
                <w:sz w:val="18"/>
                <w:szCs w:val="18"/>
              </w:rPr>
              <w:t>Rank of the website/platform in the world</w:t>
            </w:r>
          </w:p>
        </w:tc>
      </w:tr>
      <w:tr w:rsidR="006E4D24" w14:paraId="4E8964EE" w14:textId="77777777" w:rsidTr="006E4D24">
        <w:trPr>
          <w:trHeight w:val="206"/>
          <w:jc w:val="center"/>
        </w:trPr>
        <w:tc>
          <w:tcPr>
            <w:tcW w:w="2406" w:type="dxa"/>
            <w:shd w:val="clear" w:color="auto" w:fill="auto"/>
            <w:vAlign w:val="center"/>
            <w:hideMark/>
          </w:tcPr>
          <w:p w14:paraId="08395063" w14:textId="77777777" w:rsidR="006E4D24" w:rsidRPr="00CA0478" w:rsidRDefault="006E4D24" w:rsidP="0039477D">
            <w:pPr>
              <w:spacing w:line="240" w:lineRule="auto"/>
              <w:ind w:firstLine="0"/>
              <w:jc w:val="left"/>
              <w:rPr>
                <w:sz w:val="18"/>
                <w:szCs w:val="18"/>
              </w:rPr>
            </w:pPr>
            <w:r w:rsidRPr="00CA0478">
              <w:rPr>
                <w:sz w:val="18"/>
                <w:szCs w:val="18"/>
              </w:rPr>
              <w:t>domain</w:t>
            </w:r>
          </w:p>
        </w:tc>
        <w:tc>
          <w:tcPr>
            <w:tcW w:w="895" w:type="dxa"/>
            <w:shd w:val="clear" w:color="auto" w:fill="auto"/>
            <w:vAlign w:val="center"/>
            <w:hideMark/>
          </w:tcPr>
          <w:p w14:paraId="19CD886F" w14:textId="77777777" w:rsidR="006E4D24" w:rsidRPr="00CA0478" w:rsidRDefault="006E4D24" w:rsidP="0039477D">
            <w:pPr>
              <w:spacing w:line="240" w:lineRule="auto"/>
              <w:ind w:firstLine="0"/>
              <w:jc w:val="left"/>
              <w:rPr>
                <w:sz w:val="18"/>
                <w:szCs w:val="18"/>
              </w:rPr>
            </w:pPr>
            <w:r w:rsidRPr="00CA0478">
              <w:rPr>
                <w:sz w:val="18"/>
                <w:szCs w:val="18"/>
              </w:rPr>
              <w:t>string</w:t>
            </w:r>
          </w:p>
        </w:tc>
        <w:tc>
          <w:tcPr>
            <w:tcW w:w="1667" w:type="dxa"/>
            <w:shd w:val="clear" w:color="auto" w:fill="auto"/>
            <w:vAlign w:val="center"/>
            <w:hideMark/>
          </w:tcPr>
          <w:p w14:paraId="7CF7D314" w14:textId="77777777" w:rsidR="006E4D24" w:rsidRPr="00CA0478" w:rsidRDefault="006E4D24" w:rsidP="0039477D">
            <w:pPr>
              <w:spacing w:line="240" w:lineRule="auto"/>
              <w:ind w:firstLine="0"/>
              <w:jc w:val="left"/>
              <w:rPr>
                <w:sz w:val="18"/>
                <w:szCs w:val="18"/>
              </w:rPr>
            </w:pPr>
            <w:r w:rsidRPr="00CA0478">
              <w:rPr>
                <w:sz w:val="18"/>
                <w:szCs w:val="18"/>
              </w:rPr>
              <w:t>track24.net</w:t>
            </w:r>
          </w:p>
        </w:tc>
        <w:tc>
          <w:tcPr>
            <w:tcW w:w="2166" w:type="dxa"/>
            <w:shd w:val="clear" w:color="auto" w:fill="auto"/>
            <w:vAlign w:val="center"/>
            <w:hideMark/>
          </w:tcPr>
          <w:p w14:paraId="4A698E6A" w14:textId="77777777" w:rsidR="006E4D24" w:rsidRPr="00CA0478" w:rsidRDefault="006E4D24" w:rsidP="0039477D">
            <w:pPr>
              <w:spacing w:line="240" w:lineRule="auto"/>
              <w:ind w:firstLine="0"/>
              <w:jc w:val="left"/>
              <w:rPr>
                <w:sz w:val="18"/>
                <w:szCs w:val="18"/>
              </w:rPr>
            </w:pPr>
            <w:r w:rsidRPr="00CA0478">
              <w:rPr>
                <w:sz w:val="18"/>
                <w:szCs w:val="18"/>
              </w:rPr>
              <w:t>Domain name</w:t>
            </w:r>
          </w:p>
        </w:tc>
      </w:tr>
      <w:tr w:rsidR="006E4D24" w14:paraId="1F855E33" w14:textId="77777777" w:rsidTr="006E4D24">
        <w:trPr>
          <w:trHeight w:val="440"/>
          <w:jc w:val="center"/>
        </w:trPr>
        <w:tc>
          <w:tcPr>
            <w:tcW w:w="2406" w:type="dxa"/>
            <w:shd w:val="clear" w:color="auto" w:fill="auto"/>
            <w:vAlign w:val="center"/>
            <w:hideMark/>
          </w:tcPr>
          <w:p w14:paraId="07F1D1EF" w14:textId="77777777" w:rsidR="006E4D24" w:rsidRPr="00CA0478" w:rsidRDefault="006E4D24" w:rsidP="0039477D">
            <w:pPr>
              <w:spacing w:line="240" w:lineRule="auto"/>
              <w:ind w:firstLine="0"/>
              <w:jc w:val="left"/>
              <w:rPr>
                <w:sz w:val="18"/>
                <w:szCs w:val="18"/>
              </w:rPr>
            </w:pPr>
            <w:proofErr w:type="spellStart"/>
            <w:r w:rsidRPr="00CA0478">
              <w:rPr>
                <w:sz w:val="18"/>
                <w:szCs w:val="18"/>
              </w:rPr>
              <w:t>NumberStringInDomainName</w:t>
            </w:r>
            <w:proofErr w:type="spellEnd"/>
          </w:p>
        </w:tc>
        <w:tc>
          <w:tcPr>
            <w:tcW w:w="895" w:type="dxa"/>
            <w:shd w:val="clear" w:color="auto" w:fill="auto"/>
            <w:vAlign w:val="center"/>
            <w:hideMark/>
          </w:tcPr>
          <w:p w14:paraId="630F7EA3" w14:textId="77777777" w:rsidR="006E4D24" w:rsidRPr="00CA0478" w:rsidRDefault="006E4D24" w:rsidP="0039477D">
            <w:pPr>
              <w:spacing w:line="240" w:lineRule="auto"/>
              <w:ind w:firstLine="0"/>
              <w:jc w:val="left"/>
              <w:rPr>
                <w:sz w:val="18"/>
                <w:szCs w:val="18"/>
              </w:rPr>
            </w:pPr>
            <w:r w:rsidRPr="00CA0478">
              <w:rPr>
                <w:sz w:val="18"/>
                <w:szCs w:val="18"/>
              </w:rPr>
              <w:t>integer</w:t>
            </w:r>
          </w:p>
        </w:tc>
        <w:tc>
          <w:tcPr>
            <w:tcW w:w="1667" w:type="dxa"/>
            <w:shd w:val="clear" w:color="auto" w:fill="auto"/>
            <w:vAlign w:val="center"/>
            <w:hideMark/>
          </w:tcPr>
          <w:p w14:paraId="647A119F" w14:textId="77777777" w:rsidR="006E4D24" w:rsidRPr="00CA0478" w:rsidRDefault="006E4D24" w:rsidP="0039477D">
            <w:pPr>
              <w:spacing w:line="240" w:lineRule="auto"/>
              <w:ind w:firstLine="0"/>
              <w:jc w:val="left"/>
              <w:rPr>
                <w:sz w:val="18"/>
                <w:szCs w:val="18"/>
              </w:rPr>
            </w:pPr>
            <w:r w:rsidRPr="00CA0478">
              <w:rPr>
                <w:sz w:val="18"/>
                <w:szCs w:val="18"/>
              </w:rPr>
              <w:t>24</w:t>
            </w:r>
          </w:p>
        </w:tc>
        <w:tc>
          <w:tcPr>
            <w:tcW w:w="2166" w:type="dxa"/>
            <w:shd w:val="clear" w:color="auto" w:fill="auto"/>
            <w:vAlign w:val="center"/>
            <w:hideMark/>
          </w:tcPr>
          <w:p w14:paraId="3A02FBDF" w14:textId="77777777" w:rsidR="006E4D24" w:rsidRPr="00CA0478" w:rsidRDefault="006E4D24" w:rsidP="0039477D">
            <w:pPr>
              <w:spacing w:line="240" w:lineRule="auto"/>
              <w:ind w:firstLine="0"/>
              <w:jc w:val="left"/>
              <w:rPr>
                <w:sz w:val="18"/>
                <w:szCs w:val="18"/>
              </w:rPr>
            </w:pPr>
            <w:r w:rsidRPr="00CA0478">
              <w:rPr>
                <w:sz w:val="18"/>
                <w:szCs w:val="18"/>
              </w:rPr>
              <w:t>If any, the number string in the domain name</w:t>
            </w:r>
          </w:p>
        </w:tc>
      </w:tr>
      <w:tr w:rsidR="006E4D24" w14:paraId="69B6C5DD" w14:textId="77777777" w:rsidTr="006E4D24">
        <w:trPr>
          <w:trHeight w:val="773"/>
          <w:jc w:val="center"/>
        </w:trPr>
        <w:tc>
          <w:tcPr>
            <w:tcW w:w="2406" w:type="dxa"/>
            <w:shd w:val="clear" w:color="auto" w:fill="auto"/>
            <w:vAlign w:val="center"/>
            <w:hideMark/>
          </w:tcPr>
          <w:p w14:paraId="5A7B893E" w14:textId="77777777" w:rsidR="006E4D24" w:rsidRPr="00CA0478" w:rsidRDefault="006E4D24" w:rsidP="0039477D">
            <w:pPr>
              <w:spacing w:line="240" w:lineRule="auto"/>
              <w:ind w:firstLine="0"/>
              <w:jc w:val="left"/>
              <w:rPr>
                <w:sz w:val="18"/>
                <w:szCs w:val="18"/>
              </w:rPr>
            </w:pPr>
            <w:proofErr w:type="spellStart"/>
            <w:r w:rsidRPr="00CA0478">
              <w:rPr>
                <w:sz w:val="18"/>
                <w:szCs w:val="18"/>
              </w:rPr>
              <w:t>NumberOfDigits</w:t>
            </w:r>
            <w:proofErr w:type="spellEnd"/>
          </w:p>
        </w:tc>
        <w:tc>
          <w:tcPr>
            <w:tcW w:w="895" w:type="dxa"/>
            <w:shd w:val="clear" w:color="auto" w:fill="auto"/>
            <w:vAlign w:val="center"/>
            <w:hideMark/>
          </w:tcPr>
          <w:p w14:paraId="504CEAA3" w14:textId="77777777" w:rsidR="006E4D24" w:rsidRPr="00CA0478" w:rsidRDefault="006E4D24" w:rsidP="0039477D">
            <w:pPr>
              <w:spacing w:line="240" w:lineRule="auto"/>
              <w:ind w:firstLine="0"/>
              <w:jc w:val="left"/>
              <w:rPr>
                <w:sz w:val="18"/>
                <w:szCs w:val="18"/>
              </w:rPr>
            </w:pPr>
            <w:r w:rsidRPr="00CA0478">
              <w:rPr>
                <w:sz w:val="18"/>
                <w:szCs w:val="18"/>
              </w:rPr>
              <w:t>integer</w:t>
            </w:r>
          </w:p>
        </w:tc>
        <w:tc>
          <w:tcPr>
            <w:tcW w:w="1667" w:type="dxa"/>
            <w:shd w:val="clear" w:color="auto" w:fill="auto"/>
            <w:vAlign w:val="center"/>
            <w:hideMark/>
          </w:tcPr>
          <w:p w14:paraId="31D24442" w14:textId="77777777" w:rsidR="006E4D24" w:rsidRPr="00CA0478" w:rsidRDefault="006E4D24" w:rsidP="0039477D">
            <w:pPr>
              <w:spacing w:line="240" w:lineRule="auto"/>
              <w:ind w:firstLine="0"/>
              <w:jc w:val="left"/>
              <w:rPr>
                <w:sz w:val="18"/>
                <w:szCs w:val="18"/>
              </w:rPr>
            </w:pPr>
            <w:r w:rsidRPr="00CA0478">
              <w:rPr>
                <w:sz w:val="18"/>
                <w:szCs w:val="18"/>
              </w:rPr>
              <w:t>2</w:t>
            </w:r>
          </w:p>
        </w:tc>
        <w:tc>
          <w:tcPr>
            <w:tcW w:w="2166" w:type="dxa"/>
            <w:shd w:val="clear" w:color="auto" w:fill="auto"/>
            <w:vAlign w:val="center"/>
            <w:hideMark/>
          </w:tcPr>
          <w:p w14:paraId="6A917808" w14:textId="77777777" w:rsidR="006E4D24" w:rsidRPr="00CA0478" w:rsidRDefault="006E4D24" w:rsidP="0039477D">
            <w:pPr>
              <w:spacing w:line="240" w:lineRule="auto"/>
              <w:ind w:firstLine="0"/>
              <w:jc w:val="left"/>
              <w:rPr>
                <w:sz w:val="18"/>
                <w:szCs w:val="18"/>
              </w:rPr>
            </w:pPr>
            <w:r w:rsidRPr="00CA0478">
              <w:rPr>
                <w:sz w:val="18"/>
                <w:szCs w:val="18"/>
              </w:rPr>
              <w:t>If the domain name has numbers in it, the number of digits of that number in the domain name</w:t>
            </w:r>
          </w:p>
        </w:tc>
      </w:tr>
      <w:tr w:rsidR="006E4D24" w14:paraId="55D0427A" w14:textId="77777777" w:rsidTr="006E4D24">
        <w:trPr>
          <w:trHeight w:val="576"/>
          <w:jc w:val="center"/>
        </w:trPr>
        <w:tc>
          <w:tcPr>
            <w:tcW w:w="2406" w:type="dxa"/>
            <w:shd w:val="clear" w:color="auto" w:fill="auto"/>
            <w:vAlign w:val="center"/>
            <w:hideMark/>
          </w:tcPr>
          <w:p w14:paraId="23D18BE6" w14:textId="77777777" w:rsidR="006E4D24" w:rsidRPr="00CA0478" w:rsidRDefault="006E4D24" w:rsidP="0039477D">
            <w:pPr>
              <w:spacing w:line="240" w:lineRule="auto"/>
              <w:ind w:firstLine="0"/>
              <w:jc w:val="left"/>
              <w:rPr>
                <w:sz w:val="18"/>
                <w:szCs w:val="18"/>
              </w:rPr>
            </w:pPr>
            <w:proofErr w:type="spellStart"/>
            <w:r w:rsidRPr="00CA0478">
              <w:rPr>
                <w:sz w:val="18"/>
                <w:szCs w:val="18"/>
              </w:rPr>
              <w:t>NumberOfComponents</w:t>
            </w:r>
            <w:proofErr w:type="spellEnd"/>
          </w:p>
        </w:tc>
        <w:tc>
          <w:tcPr>
            <w:tcW w:w="895" w:type="dxa"/>
            <w:shd w:val="clear" w:color="auto" w:fill="auto"/>
            <w:vAlign w:val="center"/>
            <w:hideMark/>
          </w:tcPr>
          <w:p w14:paraId="38F0BD83" w14:textId="77777777" w:rsidR="006E4D24" w:rsidRPr="00CA0478" w:rsidRDefault="006E4D24" w:rsidP="0039477D">
            <w:pPr>
              <w:spacing w:line="240" w:lineRule="auto"/>
              <w:ind w:firstLine="0"/>
              <w:jc w:val="left"/>
              <w:rPr>
                <w:sz w:val="18"/>
                <w:szCs w:val="18"/>
              </w:rPr>
            </w:pPr>
            <w:r w:rsidRPr="00CA0478">
              <w:rPr>
                <w:sz w:val="18"/>
                <w:szCs w:val="18"/>
              </w:rPr>
              <w:t>integer</w:t>
            </w:r>
          </w:p>
        </w:tc>
        <w:tc>
          <w:tcPr>
            <w:tcW w:w="1667" w:type="dxa"/>
            <w:shd w:val="clear" w:color="auto" w:fill="auto"/>
            <w:vAlign w:val="center"/>
            <w:hideMark/>
          </w:tcPr>
          <w:p w14:paraId="06A324F5" w14:textId="77777777" w:rsidR="006E4D24" w:rsidRPr="00CA0478" w:rsidRDefault="006E4D24" w:rsidP="0039477D">
            <w:pPr>
              <w:spacing w:line="240" w:lineRule="auto"/>
              <w:ind w:firstLine="0"/>
              <w:jc w:val="left"/>
              <w:rPr>
                <w:sz w:val="18"/>
                <w:szCs w:val="18"/>
              </w:rPr>
            </w:pPr>
            <w:r w:rsidRPr="00CA0478">
              <w:rPr>
                <w:sz w:val="18"/>
                <w:szCs w:val="18"/>
              </w:rPr>
              <w:t>2</w:t>
            </w:r>
          </w:p>
        </w:tc>
        <w:tc>
          <w:tcPr>
            <w:tcW w:w="2166" w:type="dxa"/>
            <w:shd w:val="clear" w:color="auto" w:fill="auto"/>
            <w:vAlign w:val="center"/>
            <w:hideMark/>
          </w:tcPr>
          <w:p w14:paraId="3BCD80BA" w14:textId="77777777" w:rsidR="006E4D24" w:rsidRPr="00CA0478" w:rsidRDefault="006E4D24" w:rsidP="0039477D">
            <w:pPr>
              <w:spacing w:line="240" w:lineRule="auto"/>
              <w:ind w:firstLine="0"/>
              <w:jc w:val="left"/>
              <w:rPr>
                <w:sz w:val="18"/>
                <w:szCs w:val="18"/>
              </w:rPr>
            </w:pPr>
            <w:r w:rsidRPr="00CA0478">
              <w:rPr>
                <w:sz w:val="18"/>
                <w:szCs w:val="18"/>
              </w:rPr>
              <w:t>Number of components in the domain name, excluding www</w:t>
            </w:r>
          </w:p>
        </w:tc>
      </w:tr>
      <w:tr w:rsidR="006E4D24" w14:paraId="2000B6D7" w14:textId="77777777" w:rsidTr="006E4D24">
        <w:trPr>
          <w:trHeight w:val="269"/>
          <w:jc w:val="center"/>
        </w:trPr>
        <w:tc>
          <w:tcPr>
            <w:tcW w:w="2406" w:type="dxa"/>
            <w:shd w:val="clear" w:color="auto" w:fill="auto"/>
            <w:vAlign w:val="center"/>
            <w:hideMark/>
          </w:tcPr>
          <w:p w14:paraId="3193132B" w14:textId="77777777" w:rsidR="006E4D24" w:rsidRPr="00CA0478" w:rsidRDefault="006E4D24" w:rsidP="0039477D">
            <w:pPr>
              <w:spacing w:line="240" w:lineRule="auto"/>
              <w:ind w:firstLine="0"/>
              <w:jc w:val="left"/>
              <w:rPr>
                <w:sz w:val="18"/>
                <w:szCs w:val="18"/>
              </w:rPr>
            </w:pPr>
            <w:proofErr w:type="spellStart"/>
            <w:r w:rsidRPr="00CA0478">
              <w:rPr>
                <w:sz w:val="18"/>
                <w:szCs w:val="18"/>
              </w:rPr>
              <w:t>DomainType</w:t>
            </w:r>
            <w:proofErr w:type="spellEnd"/>
          </w:p>
        </w:tc>
        <w:tc>
          <w:tcPr>
            <w:tcW w:w="895" w:type="dxa"/>
            <w:shd w:val="clear" w:color="auto" w:fill="auto"/>
            <w:vAlign w:val="center"/>
            <w:hideMark/>
          </w:tcPr>
          <w:p w14:paraId="72533215" w14:textId="77777777" w:rsidR="006E4D24" w:rsidRPr="00CA0478" w:rsidRDefault="006E4D24" w:rsidP="0039477D">
            <w:pPr>
              <w:spacing w:line="240" w:lineRule="auto"/>
              <w:ind w:firstLine="0"/>
              <w:jc w:val="left"/>
              <w:rPr>
                <w:sz w:val="18"/>
                <w:szCs w:val="18"/>
              </w:rPr>
            </w:pPr>
            <w:r w:rsidRPr="00CA0478">
              <w:rPr>
                <w:sz w:val="18"/>
                <w:szCs w:val="18"/>
              </w:rPr>
              <w:t>string</w:t>
            </w:r>
          </w:p>
        </w:tc>
        <w:tc>
          <w:tcPr>
            <w:tcW w:w="1667" w:type="dxa"/>
            <w:shd w:val="clear" w:color="auto" w:fill="auto"/>
            <w:vAlign w:val="center"/>
            <w:hideMark/>
          </w:tcPr>
          <w:p w14:paraId="7CB54B2F" w14:textId="77777777" w:rsidR="006E4D24" w:rsidRPr="00CA0478" w:rsidRDefault="006E4D24" w:rsidP="0039477D">
            <w:pPr>
              <w:spacing w:line="240" w:lineRule="auto"/>
              <w:ind w:firstLine="0"/>
              <w:jc w:val="left"/>
              <w:rPr>
                <w:sz w:val="18"/>
                <w:szCs w:val="18"/>
              </w:rPr>
            </w:pPr>
            <w:r w:rsidRPr="00CA0478">
              <w:rPr>
                <w:sz w:val="18"/>
                <w:szCs w:val="18"/>
              </w:rPr>
              <w:t>net</w:t>
            </w:r>
          </w:p>
        </w:tc>
        <w:tc>
          <w:tcPr>
            <w:tcW w:w="2166" w:type="dxa"/>
            <w:shd w:val="clear" w:color="auto" w:fill="auto"/>
            <w:vAlign w:val="center"/>
            <w:hideMark/>
          </w:tcPr>
          <w:p w14:paraId="52123825" w14:textId="77777777" w:rsidR="006E4D24" w:rsidRPr="00CA0478" w:rsidRDefault="006E4D24" w:rsidP="0039477D">
            <w:pPr>
              <w:spacing w:line="240" w:lineRule="auto"/>
              <w:ind w:firstLine="0"/>
              <w:jc w:val="left"/>
              <w:rPr>
                <w:sz w:val="18"/>
                <w:szCs w:val="18"/>
              </w:rPr>
            </w:pPr>
            <w:r w:rsidRPr="00CA0478">
              <w:rPr>
                <w:sz w:val="18"/>
                <w:szCs w:val="18"/>
              </w:rPr>
              <w:t xml:space="preserve">Domain </w:t>
            </w:r>
            <w:r>
              <w:rPr>
                <w:sz w:val="18"/>
                <w:szCs w:val="18"/>
              </w:rPr>
              <w:t>extension</w:t>
            </w:r>
            <w:r w:rsidRPr="00CA0478">
              <w:rPr>
                <w:sz w:val="18"/>
                <w:szCs w:val="18"/>
              </w:rPr>
              <w:t xml:space="preserve"> (</w:t>
            </w:r>
            <w:r>
              <w:rPr>
                <w:sz w:val="18"/>
                <w:szCs w:val="18"/>
              </w:rPr>
              <w:t>type</w:t>
            </w:r>
            <w:r w:rsidRPr="00CA0478">
              <w:rPr>
                <w:sz w:val="18"/>
                <w:szCs w:val="18"/>
              </w:rPr>
              <w:t>)</w:t>
            </w:r>
          </w:p>
        </w:tc>
      </w:tr>
      <w:tr w:rsidR="006E4D24" w14:paraId="25A196B5" w14:textId="77777777" w:rsidTr="006E4D24">
        <w:trPr>
          <w:trHeight w:val="576"/>
          <w:jc w:val="center"/>
        </w:trPr>
        <w:tc>
          <w:tcPr>
            <w:tcW w:w="2406" w:type="dxa"/>
            <w:shd w:val="clear" w:color="auto" w:fill="auto"/>
            <w:vAlign w:val="center"/>
            <w:hideMark/>
          </w:tcPr>
          <w:p w14:paraId="56730FF3" w14:textId="77777777" w:rsidR="006E4D24" w:rsidRPr="00CA0478" w:rsidRDefault="006E4D24" w:rsidP="0039477D">
            <w:pPr>
              <w:spacing w:line="240" w:lineRule="auto"/>
              <w:ind w:firstLine="0"/>
              <w:jc w:val="left"/>
              <w:rPr>
                <w:sz w:val="18"/>
                <w:szCs w:val="18"/>
              </w:rPr>
            </w:pPr>
            <w:r w:rsidRPr="00CA0478">
              <w:rPr>
                <w:sz w:val="18"/>
                <w:szCs w:val="18"/>
              </w:rPr>
              <w:t>categories</w:t>
            </w:r>
          </w:p>
        </w:tc>
        <w:tc>
          <w:tcPr>
            <w:tcW w:w="895" w:type="dxa"/>
            <w:shd w:val="clear" w:color="auto" w:fill="auto"/>
            <w:vAlign w:val="center"/>
            <w:hideMark/>
          </w:tcPr>
          <w:p w14:paraId="1737BFD0" w14:textId="77777777" w:rsidR="006E4D24" w:rsidRPr="00CA0478" w:rsidRDefault="006E4D24" w:rsidP="0039477D">
            <w:pPr>
              <w:spacing w:line="240" w:lineRule="auto"/>
              <w:ind w:firstLine="0"/>
              <w:jc w:val="left"/>
              <w:rPr>
                <w:sz w:val="18"/>
                <w:szCs w:val="18"/>
              </w:rPr>
            </w:pPr>
            <w:r w:rsidRPr="00CA0478">
              <w:rPr>
                <w:sz w:val="18"/>
                <w:szCs w:val="18"/>
              </w:rPr>
              <w:t>string list</w:t>
            </w:r>
          </w:p>
        </w:tc>
        <w:tc>
          <w:tcPr>
            <w:tcW w:w="1667" w:type="dxa"/>
            <w:shd w:val="clear" w:color="auto" w:fill="auto"/>
            <w:vAlign w:val="center"/>
            <w:hideMark/>
          </w:tcPr>
          <w:p w14:paraId="50C63C91" w14:textId="2010248B" w:rsidR="006E4D24" w:rsidRPr="00CA0478" w:rsidRDefault="006E4D24" w:rsidP="0039477D">
            <w:pPr>
              <w:spacing w:line="240" w:lineRule="auto"/>
              <w:ind w:firstLine="0"/>
              <w:jc w:val="left"/>
              <w:rPr>
                <w:sz w:val="18"/>
                <w:szCs w:val="18"/>
              </w:rPr>
            </w:pPr>
            <w:proofErr w:type="spellStart"/>
            <w:r w:rsidRPr="00CA0478">
              <w:rPr>
                <w:sz w:val="18"/>
                <w:szCs w:val="18"/>
              </w:rPr>
              <w:t>Business_Industrial</w:t>
            </w:r>
            <w:proofErr w:type="spellEnd"/>
            <w:r w:rsidRPr="00CA0478">
              <w:rPr>
                <w:sz w:val="18"/>
                <w:szCs w:val="18"/>
              </w:rPr>
              <w:t xml:space="preserve"> </w:t>
            </w:r>
            <w:proofErr w:type="spellStart"/>
            <w:r w:rsidRPr="00CA0478">
              <w:rPr>
                <w:sz w:val="18"/>
                <w:szCs w:val="18"/>
              </w:rPr>
              <w:t>Mail_Package</w:t>
            </w:r>
            <w:proofErr w:type="spellEnd"/>
            <w:r w:rsidRPr="00CA0478">
              <w:rPr>
                <w:sz w:val="18"/>
                <w:szCs w:val="18"/>
              </w:rPr>
              <w:t>_</w:t>
            </w:r>
            <w:r>
              <w:rPr>
                <w:sz w:val="18"/>
                <w:szCs w:val="18"/>
              </w:rPr>
              <w:br/>
            </w:r>
            <w:r w:rsidRPr="00CA0478">
              <w:rPr>
                <w:sz w:val="18"/>
                <w:szCs w:val="18"/>
              </w:rPr>
              <w:t>Delivery</w:t>
            </w:r>
          </w:p>
        </w:tc>
        <w:tc>
          <w:tcPr>
            <w:tcW w:w="2166" w:type="dxa"/>
            <w:shd w:val="clear" w:color="auto" w:fill="auto"/>
            <w:vAlign w:val="center"/>
            <w:hideMark/>
          </w:tcPr>
          <w:p w14:paraId="600E74BE" w14:textId="77777777" w:rsidR="006E4D24" w:rsidRPr="00CA0478" w:rsidRDefault="006E4D24" w:rsidP="0039477D">
            <w:pPr>
              <w:spacing w:line="240" w:lineRule="auto"/>
              <w:ind w:firstLine="0"/>
              <w:jc w:val="left"/>
              <w:rPr>
                <w:sz w:val="18"/>
                <w:szCs w:val="18"/>
              </w:rPr>
            </w:pPr>
            <w:r w:rsidRPr="00CA0478">
              <w:rPr>
                <w:sz w:val="18"/>
                <w:szCs w:val="18"/>
              </w:rPr>
              <w:t>Categories, separated by space</w:t>
            </w:r>
          </w:p>
        </w:tc>
      </w:tr>
      <w:tr w:rsidR="006E4D24" w14:paraId="601C5ED7" w14:textId="77777777" w:rsidTr="006E4D24">
        <w:trPr>
          <w:trHeight w:val="404"/>
          <w:jc w:val="center"/>
        </w:trPr>
        <w:tc>
          <w:tcPr>
            <w:tcW w:w="2406" w:type="dxa"/>
            <w:shd w:val="clear" w:color="auto" w:fill="auto"/>
            <w:vAlign w:val="center"/>
            <w:hideMark/>
          </w:tcPr>
          <w:p w14:paraId="431F76FE" w14:textId="77777777" w:rsidR="006E4D24" w:rsidRPr="00CA0478" w:rsidRDefault="006E4D24" w:rsidP="0039477D">
            <w:pPr>
              <w:spacing w:line="240" w:lineRule="auto"/>
              <w:ind w:firstLine="0"/>
              <w:jc w:val="left"/>
              <w:rPr>
                <w:sz w:val="18"/>
                <w:szCs w:val="18"/>
              </w:rPr>
            </w:pPr>
            <w:r w:rsidRPr="00CA0478">
              <w:rPr>
                <w:sz w:val="18"/>
                <w:szCs w:val="18"/>
              </w:rPr>
              <w:t>city</w:t>
            </w:r>
          </w:p>
        </w:tc>
        <w:tc>
          <w:tcPr>
            <w:tcW w:w="895" w:type="dxa"/>
            <w:shd w:val="clear" w:color="auto" w:fill="auto"/>
            <w:vAlign w:val="center"/>
            <w:hideMark/>
          </w:tcPr>
          <w:p w14:paraId="2924D4ED" w14:textId="77777777" w:rsidR="006E4D24" w:rsidRPr="00CA0478" w:rsidRDefault="006E4D24" w:rsidP="0039477D">
            <w:pPr>
              <w:spacing w:line="240" w:lineRule="auto"/>
              <w:ind w:firstLine="0"/>
              <w:jc w:val="left"/>
              <w:rPr>
                <w:sz w:val="18"/>
                <w:szCs w:val="18"/>
              </w:rPr>
            </w:pPr>
            <w:r w:rsidRPr="00CA0478">
              <w:rPr>
                <w:sz w:val="18"/>
                <w:szCs w:val="18"/>
              </w:rPr>
              <w:t>string</w:t>
            </w:r>
          </w:p>
        </w:tc>
        <w:tc>
          <w:tcPr>
            <w:tcW w:w="1667" w:type="dxa"/>
            <w:shd w:val="clear" w:color="auto" w:fill="auto"/>
            <w:vAlign w:val="center"/>
            <w:hideMark/>
          </w:tcPr>
          <w:p w14:paraId="05095C19" w14:textId="77777777" w:rsidR="006E4D24" w:rsidRPr="00CA0478" w:rsidRDefault="006E4D24" w:rsidP="0039477D">
            <w:pPr>
              <w:spacing w:line="240" w:lineRule="auto"/>
              <w:ind w:firstLine="0"/>
              <w:jc w:val="left"/>
              <w:rPr>
                <w:sz w:val="18"/>
                <w:szCs w:val="18"/>
              </w:rPr>
            </w:pPr>
            <w:r w:rsidRPr="00CA0478">
              <w:rPr>
                <w:sz w:val="18"/>
                <w:szCs w:val="18"/>
              </w:rPr>
              <w:t>Dubai</w:t>
            </w:r>
          </w:p>
        </w:tc>
        <w:tc>
          <w:tcPr>
            <w:tcW w:w="2166" w:type="dxa"/>
            <w:shd w:val="clear" w:color="auto" w:fill="auto"/>
            <w:vAlign w:val="center"/>
            <w:hideMark/>
          </w:tcPr>
          <w:p w14:paraId="531ECFF2" w14:textId="77777777" w:rsidR="006E4D24" w:rsidRPr="00CA0478" w:rsidRDefault="006E4D24" w:rsidP="0039477D">
            <w:pPr>
              <w:spacing w:line="240" w:lineRule="auto"/>
              <w:ind w:firstLine="0"/>
              <w:jc w:val="left"/>
              <w:rPr>
                <w:sz w:val="18"/>
                <w:szCs w:val="18"/>
              </w:rPr>
            </w:pPr>
            <w:r w:rsidRPr="00CA0478">
              <w:rPr>
                <w:sz w:val="18"/>
                <w:szCs w:val="18"/>
              </w:rPr>
              <w:t>City where the e-commerce company is registered</w:t>
            </w:r>
          </w:p>
        </w:tc>
      </w:tr>
      <w:tr w:rsidR="006E4D24" w14:paraId="32279618" w14:textId="77777777" w:rsidTr="006E4D24">
        <w:trPr>
          <w:trHeight w:val="656"/>
          <w:jc w:val="center"/>
        </w:trPr>
        <w:tc>
          <w:tcPr>
            <w:tcW w:w="2406" w:type="dxa"/>
            <w:shd w:val="clear" w:color="auto" w:fill="auto"/>
            <w:vAlign w:val="center"/>
            <w:hideMark/>
          </w:tcPr>
          <w:p w14:paraId="3B6F3579" w14:textId="77777777" w:rsidR="006E4D24" w:rsidRPr="00CA0478" w:rsidRDefault="006E4D24" w:rsidP="0039477D">
            <w:pPr>
              <w:spacing w:line="240" w:lineRule="auto"/>
              <w:ind w:firstLine="0"/>
              <w:jc w:val="left"/>
              <w:rPr>
                <w:sz w:val="18"/>
                <w:szCs w:val="18"/>
              </w:rPr>
            </w:pPr>
            <w:r w:rsidRPr="00CA0478">
              <w:rPr>
                <w:sz w:val="18"/>
                <w:szCs w:val="18"/>
              </w:rPr>
              <w:t>state</w:t>
            </w:r>
          </w:p>
        </w:tc>
        <w:tc>
          <w:tcPr>
            <w:tcW w:w="895" w:type="dxa"/>
            <w:shd w:val="clear" w:color="auto" w:fill="auto"/>
            <w:vAlign w:val="center"/>
            <w:hideMark/>
          </w:tcPr>
          <w:p w14:paraId="346334DB" w14:textId="77777777" w:rsidR="006E4D24" w:rsidRPr="00CA0478" w:rsidRDefault="006E4D24" w:rsidP="0039477D">
            <w:pPr>
              <w:spacing w:line="240" w:lineRule="auto"/>
              <w:ind w:firstLine="0"/>
              <w:jc w:val="left"/>
              <w:rPr>
                <w:sz w:val="18"/>
                <w:szCs w:val="18"/>
              </w:rPr>
            </w:pPr>
            <w:r w:rsidRPr="00CA0478">
              <w:rPr>
                <w:sz w:val="18"/>
                <w:szCs w:val="18"/>
              </w:rPr>
              <w:t>string</w:t>
            </w:r>
          </w:p>
        </w:tc>
        <w:tc>
          <w:tcPr>
            <w:tcW w:w="1667" w:type="dxa"/>
            <w:shd w:val="clear" w:color="auto" w:fill="auto"/>
            <w:vAlign w:val="center"/>
            <w:hideMark/>
          </w:tcPr>
          <w:p w14:paraId="5CEF7D7D" w14:textId="77777777" w:rsidR="006E4D24" w:rsidRPr="00CA0478" w:rsidRDefault="006E4D24" w:rsidP="0039477D">
            <w:pPr>
              <w:spacing w:line="240" w:lineRule="auto"/>
              <w:ind w:firstLine="0"/>
              <w:jc w:val="left"/>
              <w:rPr>
                <w:sz w:val="18"/>
                <w:szCs w:val="18"/>
              </w:rPr>
            </w:pPr>
            <w:r w:rsidRPr="00CA0478">
              <w:rPr>
                <w:sz w:val="18"/>
                <w:szCs w:val="18"/>
              </w:rPr>
              <w:t>Dubai</w:t>
            </w:r>
          </w:p>
        </w:tc>
        <w:tc>
          <w:tcPr>
            <w:tcW w:w="2166" w:type="dxa"/>
            <w:shd w:val="clear" w:color="auto" w:fill="auto"/>
            <w:vAlign w:val="center"/>
            <w:hideMark/>
          </w:tcPr>
          <w:p w14:paraId="6AAE0CA2" w14:textId="77777777" w:rsidR="006E4D24" w:rsidRPr="00CA0478" w:rsidRDefault="006E4D24" w:rsidP="0039477D">
            <w:pPr>
              <w:spacing w:line="240" w:lineRule="auto"/>
              <w:ind w:firstLine="0"/>
              <w:jc w:val="left"/>
              <w:rPr>
                <w:sz w:val="18"/>
                <w:szCs w:val="18"/>
              </w:rPr>
            </w:pPr>
            <w:r w:rsidRPr="00CA0478">
              <w:rPr>
                <w:sz w:val="18"/>
                <w:szCs w:val="18"/>
              </w:rPr>
              <w:t>State (the UAE Emirate) where the e-commerce company is registered</w:t>
            </w:r>
          </w:p>
        </w:tc>
      </w:tr>
      <w:tr w:rsidR="006E4D24" w14:paraId="5C34FA26" w14:textId="77777777" w:rsidTr="006E4D24">
        <w:trPr>
          <w:trHeight w:val="359"/>
          <w:jc w:val="center"/>
        </w:trPr>
        <w:tc>
          <w:tcPr>
            <w:tcW w:w="2406" w:type="dxa"/>
            <w:shd w:val="clear" w:color="auto" w:fill="auto"/>
            <w:vAlign w:val="center"/>
            <w:hideMark/>
          </w:tcPr>
          <w:p w14:paraId="33B5D822" w14:textId="77777777" w:rsidR="006E4D24" w:rsidRPr="00CA0478" w:rsidRDefault="006E4D24" w:rsidP="0039477D">
            <w:pPr>
              <w:spacing w:line="240" w:lineRule="auto"/>
              <w:ind w:firstLine="0"/>
              <w:jc w:val="left"/>
              <w:rPr>
                <w:sz w:val="18"/>
                <w:szCs w:val="18"/>
              </w:rPr>
            </w:pPr>
            <w:proofErr w:type="spellStart"/>
            <w:r w:rsidRPr="00CA0478">
              <w:rPr>
                <w:sz w:val="18"/>
                <w:szCs w:val="18"/>
              </w:rPr>
              <w:t>estimated_monthly_sales</w:t>
            </w:r>
            <w:proofErr w:type="spellEnd"/>
          </w:p>
        </w:tc>
        <w:tc>
          <w:tcPr>
            <w:tcW w:w="895" w:type="dxa"/>
            <w:shd w:val="clear" w:color="auto" w:fill="auto"/>
            <w:vAlign w:val="center"/>
            <w:hideMark/>
          </w:tcPr>
          <w:p w14:paraId="623159C8" w14:textId="77777777" w:rsidR="006E4D24" w:rsidRPr="00CA0478" w:rsidRDefault="006E4D24" w:rsidP="0039477D">
            <w:pPr>
              <w:spacing w:line="240" w:lineRule="auto"/>
              <w:ind w:firstLine="0"/>
              <w:jc w:val="left"/>
              <w:rPr>
                <w:sz w:val="18"/>
                <w:szCs w:val="18"/>
              </w:rPr>
            </w:pPr>
            <w:r w:rsidRPr="00CA0478">
              <w:rPr>
                <w:sz w:val="18"/>
                <w:szCs w:val="18"/>
              </w:rPr>
              <w:t>integer</w:t>
            </w:r>
          </w:p>
        </w:tc>
        <w:tc>
          <w:tcPr>
            <w:tcW w:w="1667" w:type="dxa"/>
            <w:shd w:val="clear" w:color="auto" w:fill="auto"/>
            <w:vAlign w:val="center"/>
            <w:hideMark/>
          </w:tcPr>
          <w:p w14:paraId="1A4E27CC" w14:textId="77777777" w:rsidR="006E4D24" w:rsidRPr="00CA0478" w:rsidRDefault="006E4D24" w:rsidP="0039477D">
            <w:pPr>
              <w:spacing w:line="240" w:lineRule="auto"/>
              <w:ind w:firstLine="0"/>
              <w:jc w:val="left"/>
              <w:rPr>
                <w:sz w:val="18"/>
                <w:szCs w:val="18"/>
              </w:rPr>
            </w:pPr>
            <w:r w:rsidRPr="00CA0478">
              <w:rPr>
                <w:sz w:val="18"/>
                <w:szCs w:val="18"/>
              </w:rPr>
              <w:t>1,553,273.71</w:t>
            </w:r>
          </w:p>
        </w:tc>
        <w:tc>
          <w:tcPr>
            <w:tcW w:w="2166" w:type="dxa"/>
            <w:shd w:val="clear" w:color="auto" w:fill="auto"/>
            <w:vAlign w:val="center"/>
            <w:hideMark/>
          </w:tcPr>
          <w:p w14:paraId="4359844B" w14:textId="77777777" w:rsidR="006E4D24" w:rsidRPr="00CA0478" w:rsidRDefault="006E4D24" w:rsidP="0039477D">
            <w:pPr>
              <w:spacing w:line="240" w:lineRule="auto"/>
              <w:ind w:firstLine="0"/>
              <w:jc w:val="left"/>
              <w:rPr>
                <w:sz w:val="18"/>
                <w:szCs w:val="18"/>
              </w:rPr>
            </w:pPr>
            <w:r w:rsidRPr="00CA0478">
              <w:rPr>
                <w:sz w:val="18"/>
                <w:szCs w:val="18"/>
              </w:rPr>
              <w:t>Monthly sales estimated</w:t>
            </w:r>
          </w:p>
        </w:tc>
      </w:tr>
      <w:tr w:rsidR="006E4D24" w14:paraId="518EB968" w14:textId="77777777" w:rsidTr="006E4D24">
        <w:trPr>
          <w:trHeight w:val="350"/>
          <w:jc w:val="center"/>
        </w:trPr>
        <w:tc>
          <w:tcPr>
            <w:tcW w:w="2406" w:type="dxa"/>
            <w:shd w:val="clear" w:color="auto" w:fill="auto"/>
            <w:vAlign w:val="center"/>
            <w:hideMark/>
          </w:tcPr>
          <w:p w14:paraId="776D79E3" w14:textId="77777777" w:rsidR="006E4D24" w:rsidRPr="00CA0478" w:rsidRDefault="006E4D24" w:rsidP="0039477D">
            <w:pPr>
              <w:spacing w:line="240" w:lineRule="auto"/>
              <w:ind w:firstLine="0"/>
              <w:jc w:val="left"/>
              <w:rPr>
                <w:sz w:val="18"/>
                <w:szCs w:val="18"/>
              </w:rPr>
            </w:pPr>
            <w:proofErr w:type="spellStart"/>
            <w:r w:rsidRPr="00CA0478">
              <w:rPr>
                <w:sz w:val="18"/>
                <w:szCs w:val="18"/>
              </w:rPr>
              <w:t>products_sold</w:t>
            </w:r>
            <w:proofErr w:type="spellEnd"/>
          </w:p>
        </w:tc>
        <w:tc>
          <w:tcPr>
            <w:tcW w:w="895" w:type="dxa"/>
            <w:shd w:val="clear" w:color="auto" w:fill="auto"/>
            <w:vAlign w:val="center"/>
            <w:hideMark/>
          </w:tcPr>
          <w:p w14:paraId="3DEA03DC" w14:textId="77777777" w:rsidR="006E4D24" w:rsidRPr="00CA0478" w:rsidRDefault="006E4D24" w:rsidP="0039477D">
            <w:pPr>
              <w:spacing w:line="240" w:lineRule="auto"/>
              <w:ind w:firstLine="0"/>
              <w:jc w:val="left"/>
              <w:rPr>
                <w:sz w:val="18"/>
                <w:szCs w:val="18"/>
              </w:rPr>
            </w:pPr>
            <w:r w:rsidRPr="00CA0478">
              <w:rPr>
                <w:sz w:val="18"/>
                <w:szCs w:val="18"/>
              </w:rPr>
              <w:t>integer</w:t>
            </w:r>
          </w:p>
        </w:tc>
        <w:tc>
          <w:tcPr>
            <w:tcW w:w="1667" w:type="dxa"/>
            <w:shd w:val="clear" w:color="auto" w:fill="auto"/>
            <w:vAlign w:val="center"/>
            <w:hideMark/>
          </w:tcPr>
          <w:p w14:paraId="55A2D547" w14:textId="77777777" w:rsidR="006E4D24" w:rsidRPr="00CA0478" w:rsidRDefault="006E4D24" w:rsidP="0039477D">
            <w:pPr>
              <w:spacing w:line="240" w:lineRule="auto"/>
              <w:ind w:firstLine="0"/>
              <w:jc w:val="left"/>
              <w:rPr>
                <w:sz w:val="18"/>
                <w:szCs w:val="18"/>
              </w:rPr>
            </w:pPr>
            <w:r w:rsidRPr="00CA0478">
              <w:rPr>
                <w:sz w:val="18"/>
                <w:szCs w:val="18"/>
              </w:rPr>
              <w:t>262</w:t>
            </w:r>
          </w:p>
        </w:tc>
        <w:tc>
          <w:tcPr>
            <w:tcW w:w="2166" w:type="dxa"/>
            <w:shd w:val="clear" w:color="auto" w:fill="auto"/>
            <w:vAlign w:val="center"/>
            <w:hideMark/>
          </w:tcPr>
          <w:p w14:paraId="62DCF422" w14:textId="77777777" w:rsidR="006E4D24" w:rsidRPr="00CA0478" w:rsidRDefault="006E4D24" w:rsidP="0039477D">
            <w:pPr>
              <w:spacing w:line="240" w:lineRule="auto"/>
              <w:ind w:firstLine="0"/>
              <w:jc w:val="left"/>
              <w:rPr>
                <w:sz w:val="18"/>
                <w:szCs w:val="18"/>
              </w:rPr>
            </w:pPr>
            <w:r w:rsidRPr="00CA0478">
              <w:rPr>
                <w:sz w:val="18"/>
                <w:szCs w:val="18"/>
              </w:rPr>
              <w:t>Number of products sold in the platform</w:t>
            </w:r>
          </w:p>
        </w:tc>
      </w:tr>
      <w:tr w:rsidR="006E4D24" w14:paraId="74FC3C6F" w14:textId="77777777" w:rsidTr="006E4D24">
        <w:trPr>
          <w:trHeight w:val="350"/>
          <w:jc w:val="center"/>
        </w:trPr>
        <w:tc>
          <w:tcPr>
            <w:tcW w:w="2406" w:type="dxa"/>
            <w:shd w:val="clear" w:color="auto" w:fill="auto"/>
            <w:vAlign w:val="center"/>
          </w:tcPr>
          <w:p w14:paraId="6B6BAAB0" w14:textId="77777777" w:rsidR="006E4D24" w:rsidRPr="00CA0478" w:rsidRDefault="006E4D24" w:rsidP="0039477D">
            <w:pPr>
              <w:spacing w:line="240" w:lineRule="auto"/>
              <w:ind w:firstLine="0"/>
              <w:jc w:val="left"/>
              <w:rPr>
                <w:sz w:val="18"/>
                <w:szCs w:val="18"/>
              </w:rPr>
            </w:pPr>
            <w:r w:rsidRPr="00B15E75">
              <w:rPr>
                <w:sz w:val="18"/>
                <w:szCs w:val="18"/>
              </w:rPr>
              <w:t>Apparel</w:t>
            </w:r>
          </w:p>
        </w:tc>
        <w:tc>
          <w:tcPr>
            <w:tcW w:w="895" w:type="dxa"/>
            <w:shd w:val="clear" w:color="auto" w:fill="auto"/>
            <w:vAlign w:val="center"/>
          </w:tcPr>
          <w:p w14:paraId="1C800EF6" w14:textId="77777777" w:rsidR="006E4D24" w:rsidRPr="00CA0478" w:rsidRDefault="006E4D24" w:rsidP="0039477D">
            <w:pPr>
              <w:spacing w:line="240" w:lineRule="auto"/>
              <w:ind w:firstLine="0"/>
              <w:jc w:val="left"/>
              <w:rPr>
                <w:sz w:val="18"/>
                <w:szCs w:val="18"/>
              </w:rPr>
            </w:pPr>
            <w:r>
              <w:rPr>
                <w:sz w:val="18"/>
                <w:szCs w:val="18"/>
              </w:rPr>
              <w:t>binary</w:t>
            </w:r>
          </w:p>
        </w:tc>
        <w:tc>
          <w:tcPr>
            <w:tcW w:w="1667" w:type="dxa"/>
            <w:shd w:val="clear" w:color="auto" w:fill="auto"/>
            <w:vAlign w:val="center"/>
          </w:tcPr>
          <w:p w14:paraId="77CAB1EE" w14:textId="77777777" w:rsidR="006E4D24" w:rsidRPr="00CA0478" w:rsidRDefault="006E4D24" w:rsidP="0039477D">
            <w:pPr>
              <w:spacing w:line="240" w:lineRule="auto"/>
              <w:ind w:firstLine="0"/>
              <w:jc w:val="left"/>
              <w:rPr>
                <w:sz w:val="18"/>
                <w:szCs w:val="18"/>
              </w:rPr>
            </w:pPr>
            <w:r>
              <w:rPr>
                <w:sz w:val="18"/>
                <w:szCs w:val="18"/>
              </w:rPr>
              <w:t>0</w:t>
            </w:r>
          </w:p>
        </w:tc>
        <w:tc>
          <w:tcPr>
            <w:tcW w:w="2166" w:type="dxa"/>
            <w:shd w:val="clear" w:color="auto" w:fill="auto"/>
            <w:vAlign w:val="center"/>
          </w:tcPr>
          <w:p w14:paraId="3618EB00" w14:textId="77777777" w:rsidR="006E4D24" w:rsidRPr="00CA0478" w:rsidRDefault="006E4D24" w:rsidP="0039477D">
            <w:pPr>
              <w:spacing w:line="240" w:lineRule="auto"/>
              <w:ind w:firstLine="0"/>
              <w:jc w:val="left"/>
              <w:rPr>
                <w:sz w:val="18"/>
                <w:szCs w:val="18"/>
              </w:rPr>
            </w:pPr>
            <w:r>
              <w:rPr>
                <w:sz w:val="18"/>
                <w:szCs w:val="18"/>
              </w:rPr>
              <w:t>Whether the website includes the mentioned category (1) or not (0 or empty cell)</w:t>
            </w:r>
          </w:p>
        </w:tc>
      </w:tr>
      <w:tr w:rsidR="006E4D24" w14:paraId="3781A3F7" w14:textId="77777777" w:rsidTr="006E4D24">
        <w:trPr>
          <w:trHeight w:val="350"/>
          <w:jc w:val="center"/>
        </w:trPr>
        <w:tc>
          <w:tcPr>
            <w:tcW w:w="2406" w:type="dxa"/>
            <w:shd w:val="clear" w:color="auto" w:fill="auto"/>
          </w:tcPr>
          <w:p w14:paraId="0BA75B93" w14:textId="77777777" w:rsidR="006E4D24" w:rsidRPr="00B15E75" w:rsidRDefault="006E4D24" w:rsidP="0039477D">
            <w:pPr>
              <w:spacing w:line="240" w:lineRule="auto"/>
              <w:ind w:firstLine="0"/>
              <w:jc w:val="left"/>
              <w:rPr>
                <w:sz w:val="18"/>
                <w:szCs w:val="18"/>
              </w:rPr>
            </w:pPr>
            <w:proofErr w:type="spellStart"/>
            <w:r w:rsidRPr="00B15E75">
              <w:rPr>
                <w:sz w:val="18"/>
                <w:szCs w:val="18"/>
              </w:rPr>
              <w:t>Home_Garden</w:t>
            </w:r>
            <w:proofErr w:type="spellEnd"/>
          </w:p>
        </w:tc>
        <w:tc>
          <w:tcPr>
            <w:tcW w:w="895" w:type="dxa"/>
            <w:shd w:val="clear" w:color="auto" w:fill="auto"/>
            <w:vAlign w:val="center"/>
          </w:tcPr>
          <w:p w14:paraId="2E70C396" w14:textId="77777777" w:rsidR="006E4D24" w:rsidRDefault="006E4D24" w:rsidP="0039477D">
            <w:pPr>
              <w:spacing w:line="240" w:lineRule="auto"/>
              <w:ind w:firstLine="0"/>
              <w:jc w:val="left"/>
              <w:rPr>
                <w:sz w:val="18"/>
                <w:szCs w:val="18"/>
              </w:rPr>
            </w:pPr>
            <w:r>
              <w:rPr>
                <w:sz w:val="18"/>
                <w:szCs w:val="18"/>
              </w:rPr>
              <w:t>binary</w:t>
            </w:r>
          </w:p>
        </w:tc>
        <w:tc>
          <w:tcPr>
            <w:tcW w:w="1667" w:type="dxa"/>
            <w:shd w:val="clear" w:color="auto" w:fill="auto"/>
            <w:vAlign w:val="center"/>
          </w:tcPr>
          <w:p w14:paraId="370C1946" w14:textId="77777777" w:rsidR="006E4D24" w:rsidRDefault="006E4D24" w:rsidP="0039477D">
            <w:pPr>
              <w:spacing w:line="240" w:lineRule="auto"/>
              <w:ind w:firstLine="0"/>
              <w:jc w:val="left"/>
              <w:rPr>
                <w:sz w:val="18"/>
                <w:szCs w:val="18"/>
              </w:rPr>
            </w:pPr>
            <w:r>
              <w:rPr>
                <w:sz w:val="18"/>
                <w:szCs w:val="18"/>
              </w:rPr>
              <w:t>0</w:t>
            </w:r>
          </w:p>
        </w:tc>
        <w:tc>
          <w:tcPr>
            <w:tcW w:w="2166" w:type="dxa"/>
            <w:shd w:val="clear" w:color="auto" w:fill="auto"/>
            <w:vAlign w:val="center"/>
          </w:tcPr>
          <w:p w14:paraId="66326CB7" w14:textId="77777777" w:rsidR="006E4D24" w:rsidRDefault="006E4D24" w:rsidP="0039477D">
            <w:pPr>
              <w:spacing w:line="240" w:lineRule="auto"/>
              <w:ind w:firstLine="0"/>
              <w:jc w:val="left"/>
              <w:rPr>
                <w:sz w:val="18"/>
                <w:szCs w:val="18"/>
              </w:rPr>
            </w:pPr>
          </w:p>
        </w:tc>
      </w:tr>
      <w:tr w:rsidR="006E4D24" w14:paraId="3D0D2BE9" w14:textId="77777777" w:rsidTr="006E4D24">
        <w:trPr>
          <w:trHeight w:val="350"/>
          <w:jc w:val="center"/>
        </w:trPr>
        <w:tc>
          <w:tcPr>
            <w:tcW w:w="2406" w:type="dxa"/>
            <w:shd w:val="clear" w:color="auto" w:fill="auto"/>
          </w:tcPr>
          <w:p w14:paraId="037BFB66" w14:textId="77777777" w:rsidR="006E4D24" w:rsidRPr="00B15E75" w:rsidRDefault="006E4D24" w:rsidP="0039477D">
            <w:pPr>
              <w:spacing w:line="240" w:lineRule="auto"/>
              <w:ind w:firstLine="0"/>
              <w:jc w:val="left"/>
              <w:rPr>
                <w:sz w:val="18"/>
                <w:szCs w:val="18"/>
              </w:rPr>
            </w:pPr>
            <w:proofErr w:type="spellStart"/>
            <w:r w:rsidRPr="00B15E75">
              <w:rPr>
                <w:sz w:val="18"/>
                <w:szCs w:val="18"/>
              </w:rPr>
              <w:t>Food_Drink</w:t>
            </w:r>
            <w:proofErr w:type="spellEnd"/>
          </w:p>
        </w:tc>
        <w:tc>
          <w:tcPr>
            <w:tcW w:w="895" w:type="dxa"/>
            <w:shd w:val="clear" w:color="auto" w:fill="auto"/>
            <w:vAlign w:val="center"/>
          </w:tcPr>
          <w:p w14:paraId="4668222A" w14:textId="77777777" w:rsidR="006E4D24" w:rsidRDefault="006E4D24" w:rsidP="0039477D">
            <w:pPr>
              <w:spacing w:line="240" w:lineRule="auto"/>
              <w:ind w:firstLine="0"/>
              <w:jc w:val="left"/>
              <w:rPr>
                <w:sz w:val="18"/>
                <w:szCs w:val="18"/>
              </w:rPr>
            </w:pPr>
            <w:r>
              <w:rPr>
                <w:sz w:val="18"/>
                <w:szCs w:val="18"/>
              </w:rPr>
              <w:t>binary</w:t>
            </w:r>
          </w:p>
        </w:tc>
        <w:tc>
          <w:tcPr>
            <w:tcW w:w="1667" w:type="dxa"/>
            <w:shd w:val="clear" w:color="auto" w:fill="auto"/>
            <w:vAlign w:val="center"/>
          </w:tcPr>
          <w:p w14:paraId="23F3823F" w14:textId="77777777" w:rsidR="006E4D24" w:rsidRDefault="006E4D24" w:rsidP="0039477D">
            <w:pPr>
              <w:spacing w:line="240" w:lineRule="auto"/>
              <w:ind w:firstLine="0"/>
              <w:jc w:val="left"/>
              <w:rPr>
                <w:sz w:val="18"/>
                <w:szCs w:val="18"/>
              </w:rPr>
            </w:pPr>
            <w:r>
              <w:rPr>
                <w:sz w:val="18"/>
                <w:szCs w:val="18"/>
              </w:rPr>
              <w:t>0</w:t>
            </w:r>
          </w:p>
        </w:tc>
        <w:tc>
          <w:tcPr>
            <w:tcW w:w="2166" w:type="dxa"/>
            <w:shd w:val="clear" w:color="auto" w:fill="auto"/>
            <w:vAlign w:val="center"/>
          </w:tcPr>
          <w:p w14:paraId="4FD86E52" w14:textId="77777777" w:rsidR="006E4D24" w:rsidRDefault="006E4D24" w:rsidP="0039477D">
            <w:pPr>
              <w:spacing w:line="240" w:lineRule="auto"/>
              <w:ind w:firstLine="0"/>
              <w:jc w:val="left"/>
              <w:rPr>
                <w:sz w:val="18"/>
                <w:szCs w:val="18"/>
              </w:rPr>
            </w:pPr>
          </w:p>
        </w:tc>
      </w:tr>
      <w:tr w:rsidR="006E4D24" w14:paraId="4F34B03A" w14:textId="77777777" w:rsidTr="006E4D24">
        <w:trPr>
          <w:trHeight w:val="350"/>
          <w:jc w:val="center"/>
        </w:trPr>
        <w:tc>
          <w:tcPr>
            <w:tcW w:w="2406" w:type="dxa"/>
            <w:shd w:val="clear" w:color="auto" w:fill="auto"/>
          </w:tcPr>
          <w:p w14:paraId="3D5A679B" w14:textId="77777777" w:rsidR="006E4D24" w:rsidRPr="00B15E75" w:rsidRDefault="006E4D24" w:rsidP="0039477D">
            <w:pPr>
              <w:spacing w:line="240" w:lineRule="auto"/>
              <w:ind w:firstLine="0"/>
              <w:jc w:val="left"/>
              <w:rPr>
                <w:sz w:val="18"/>
                <w:szCs w:val="18"/>
              </w:rPr>
            </w:pPr>
            <w:proofErr w:type="spellStart"/>
            <w:r w:rsidRPr="00B15E75">
              <w:rPr>
                <w:sz w:val="18"/>
                <w:szCs w:val="18"/>
              </w:rPr>
              <w:t>Beauty_Fitness</w:t>
            </w:r>
            <w:proofErr w:type="spellEnd"/>
          </w:p>
        </w:tc>
        <w:tc>
          <w:tcPr>
            <w:tcW w:w="895" w:type="dxa"/>
            <w:shd w:val="clear" w:color="auto" w:fill="auto"/>
            <w:vAlign w:val="center"/>
          </w:tcPr>
          <w:p w14:paraId="5045769B" w14:textId="77777777" w:rsidR="006E4D24" w:rsidRDefault="006E4D24" w:rsidP="0039477D">
            <w:pPr>
              <w:spacing w:line="240" w:lineRule="auto"/>
              <w:ind w:firstLine="0"/>
              <w:jc w:val="left"/>
              <w:rPr>
                <w:sz w:val="18"/>
                <w:szCs w:val="18"/>
              </w:rPr>
            </w:pPr>
            <w:r>
              <w:rPr>
                <w:sz w:val="18"/>
                <w:szCs w:val="18"/>
              </w:rPr>
              <w:t>binary</w:t>
            </w:r>
          </w:p>
        </w:tc>
        <w:tc>
          <w:tcPr>
            <w:tcW w:w="1667" w:type="dxa"/>
            <w:shd w:val="clear" w:color="auto" w:fill="auto"/>
            <w:vAlign w:val="center"/>
          </w:tcPr>
          <w:p w14:paraId="13E3F539" w14:textId="77777777" w:rsidR="006E4D24" w:rsidRDefault="006E4D24" w:rsidP="0039477D">
            <w:pPr>
              <w:spacing w:line="240" w:lineRule="auto"/>
              <w:ind w:firstLine="0"/>
              <w:jc w:val="left"/>
              <w:rPr>
                <w:sz w:val="18"/>
                <w:szCs w:val="18"/>
              </w:rPr>
            </w:pPr>
            <w:r>
              <w:rPr>
                <w:sz w:val="18"/>
                <w:szCs w:val="18"/>
              </w:rPr>
              <w:t>0</w:t>
            </w:r>
          </w:p>
        </w:tc>
        <w:tc>
          <w:tcPr>
            <w:tcW w:w="2166" w:type="dxa"/>
            <w:shd w:val="clear" w:color="auto" w:fill="auto"/>
            <w:vAlign w:val="center"/>
          </w:tcPr>
          <w:p w14:paraId="2B43482D" w14:textId="77777777" w:rsidR="006E4D24" w:rsidRDefault="006E4D24" w:rsidP="0039477D">
            <w:pPr>
              <w:spacing w:line="240" w:lineRule="auto"/>
              <w:ind w:firstLine="0"/>
              <w:jc w:val="left"/>
              <w:rPr>
                <w:sz w:val="18"/>
                <w:szCs w:val="18"/>
              </w:rPr>
            </w:pPr>
          </w:p>
        </w:tc>
      </w:tr>
      <w:tr w:rsidR="006E4D24" w14:paraId="01DF7660" w14:textId="77777777" w:rsidTr="006E4D24">
        <w:trPr>
          <w:trHeight w:val="350"/>
          <w:jc w:val="center"/>
        </w:trPr>
        <w:tc>
          <w:tcPr>
            <w:tcW w:w="2406" w:type="dxa"/>
            <w:shd w:val="clear" w:color="auto" w:fill="auto"/>
          </w:tcPr>
          <w:p w14:paraId="33597EA8" w14:textId="77777777" w:rsidR="006E4D24" w:rsidRPr="00B15E75" w:rsidRDefault="006E4D24" w:rsidP="0039477D">
            <w:pPr>
              <w:spacing w:line="240" w:lineRule="auto"/>
              <w:ind w:firstLine="0"/>
              <w:jc w:val="left"/>
              <w:rPr>
                <w:sz w:val="18"/>
                <w:szCs w:val="18"/>
              </w:rPr>
            </w:pPr>
            <w:proofErr w:type="spellStart"/>
            <w:r w:rsidRPr="00B15E75">
              <w:rPr>
                <w:sz w:val="18"/>
                <w:szCs w:val="18"/>
              </w:rPr>
              <w:t>Business_Industrial</w:t>
            </w:r>
            <w:proofErr w:type="spellEnd"/>
          </w:p>
        </w:tc>
        <w:tc>
          <w:tcPr>
            <w:tcW w:w="895" w:type="dxa"/>
            <w:shd w:val="clear" w:color="auto" w:fill="auto"/>
            <w:vAlign w:val="center"/>
          </w:tcPr>
          <w:p w14:paraId="0B5CC7DB" w14:textId="77777777" w:rsidR="006E4D24" w:rsidRDefault="006E4D24" w:rsidP="0039477D">
            <w:pPr>
              <w:spacing w:line="240" w:lineRule="auto"/>
              <w:ind w:firstLine="0"/>
              <w:jc w:val="left"/>
              <w:rPr>
                <w:sz w:val="18"/>
                <w:szCs w:val="18"/>
              </w:rPr>
            </w:pPr>
            <w:r>
              <w:rPr>
                <w:sz w:val="18"/>
                <w:szCs w:val="18"/>
              </w:rPr>
              <w:t>binary</w:t>
            </w:r>
          </w:p>
        </w:tc>
        <w:tc>
          <w:tcPr>
            <w:tcW w:w="1667" w:type="dxa"/>
            <w:shd w:val="clear" w:color="auto" w:fill="auto"/>
            <w:vAlign w:val="center"/>
          </w:tcPr>
          <w:p w14:paraId="016BC15A" w14:textId="77777777" w:rsidR="006E4D24" w:rsidRDefault="006E4D24" w:rsidP="0039477D">
            <w:pPr>
              <w:spacing w:line="240" w:lineRule="auto"/>
              <w:ind w:firstLine="0"/>
              <w:jc w:val="left"/>
              <w:rPr>
                <w:sz w:val="18"/>
                <w:szCs w:val="18"/>
              </w:rPr>
            </w:pPr>
            <w:r>
              <w:rPr>
                <w:sz w:val="18"/>
                <w:szCs w:val="18"/>
              </w:rPr>
              <w:t>1</w:t>
            </w:r>
          </w:p>
        </w:tc>
        <w:tc>
          <w:tcPr>
            <w:tcW w:w="2166" w:type="dxa"/>
            <w:shd w:val="clear" w:color="auto" w:fill="auto"/>
            <w:vAlign w:val="center"/>
          </w:tcPr>
          <w:p w14:paraId="1DE5544B" w14:textId="77777777" w:rsidR="006E4D24" w:rsidRDefault="006E4D24" w:rsidP="0039477D">
            <w:pPr>
              <w:spacing w:line="240" w:lineRule="auto"/>
              <w:ind w:firstLine="0"/>
              <w:jc w:val="left"/>
              <w:rPr>
                <w:sz w:val="18"/>
                <w:szCs w:val="18"/>
              </w:rPr>
            </w:pPr>
          </w:p>
        </w:tc>
      </w:tr>
      <w:tr w:rsidR="006E4D24" w14:paraId="2982D49C" w14:textId="77777777" w:rsidTr="006E4D24">
        <w:trPr>
          <w:trHeight w:val="350"/>
          <w:jc w:val="center"/>
        </w:trPr>
        <w:tc>
          <w:tcPr>
            <w:tcW w:w="2406" w:type="dxa"/>
            <w:shd w:val="clear" w:color="auto" w:fill="auto"/>
          </w:tcPr>
          <w:p w14:paraId="74CCF788" w14:textId="77777777" w:rsidR="006E4D24" w:rsidRPr="00B15E75" w:rsidRDefault="006E4D24" w:rsidP="0039477D">
            <w:pPr>
              <w:spacing w:line="240" w:lineRule="auto"/>
              <w:ind w:firstLine="0"/>
              <w:jc w:val="left"/>
              <w:rPr>
                <w:sz w:val="18"/>
                <w:szCs w:val="18"/>
              </w:rPr>
            </w:pPr>
            <w:proofErr w:type="spellStart"/>
            <w:r w:rsidRPr="00B15E75">
              <w:rPr>
                <w:sz w:val="18"/>
                <w:szCs w:val="18"/>
              </w:rPr>
              <w:lastRenderedPageBreak/>
              <w:t>Face_Body_Care</w:t>
            </w:r>
            <w:proofErr w:type="spellEnd"/>
          </w:p>
        </w:tc>
        <w:tc>
          <w:tcPr>
            <w:tcW w:w="895" w:type="dxa"/>
            <w:shd w:val="clear" w:color="auto" w:fill="auto"/>
            <w:vAlign w:val="center"/>
          </w:tcPr>
          <w:p w14:paraId="76411CDF" w14:textId="77777777" w:rsidR="006E4D24" w:rsidRDefault="006E4D24" w:rsidP="0039477D">
            <w:pPr>
              <w:spacing w:line="240" w:lineRule="auto"/>
              <w:ind w:firstLine="0"/>
              <w:jc w:val="left"/>
              <w:rPr>
                <w:sz w:val="18"/>
                <w:szCs w:val="18"/>
              </w:rPr>
            </w:pPr>
            <w:r>
              <w:rPr>
                <w:sz w:val="18"/>
                <w:szCs w:val="18"/>
              </w:rPr>
              <w:t>binary</w:t>
            </w:r>
          </w:p>
        </w:tc>
        <w:tc>
          <w:tcPr>
            <w:tcW w:w="1667" w:type="dxa"/>
            <w:shd w:val="clear" w:color="auto" w:fill="auto"/>
            <w:vAlign w:val="center"/>
          </w:tcPr>
          <w:p w14:paraId="3AFD84EF" w14:textId="77777777" w:rsidR="006E4D24" w:rsidRDefault="006E4D24" w:rsidP="0039477D">
            <w:pPr>
              <w:spacing w:line="240" w:lineRule="auto"/>
              <w:ind w:firstLine="0"/>
              <w:jc w:val="left"/>
              <w:rPr>
                <w:sz w:val="18"/>
                <w:szCs w:val="18"/>
              </w:rPr>
            </w:pPr>
            <w:r>
              <w:rPr>
                <w:sz w:val="18"/>
                <w:szCs w:val="18"/>
              </w:rPr>
              <w:t>0</w:t>
            </w:r>
          </w:p>
        </w:tc>
        <w:tc>
          <w:tcPr>
            <w:tcW w:w="2166" w:type="dxa"/>
            <w:shd w:val="clear" w:color="auto" w:fill="auto"/>
            <w:vAlign w:val="center"/>
          </w:tcPr>
          <w:p w14:paraId="2AE18A49" w14:textId="77777777" w:rsidR="006E4D24" w:rsidRDefault="006E4D24" w:rsidP="0039477D">
            <w:pPr>
              <w:spacing w:line="240" w:lineRule="auto"/>
              <w:ind w:firstLine="0"/>
              <w:jc w:val="left"/>
              <w:rPr>
                <w:sz w:val="18"/>
                <w:szCs w:val="18"/>
              </w:rPr>
            </w:pPr>
          </w:p>
        </w:tc>
      </w:tr>
      <w:tr w:rsidR="006E4D24" w14:paraId="4D0B7CFC" w14:textId="77777777" w:rsidTr="006E4D24">
        <w:trPr>
          <w:trHeight w:val="350"/>
          <w:jc w:val="center"/>
        </w:trPr>
        <w:tc>
          <w:tcPr>
            <w:tcW w:w="2406" w:type="dxa"/>
            <w:shd w:val="clear" w:color="auto" w:fill="auto"/>
          </w:tcPr>
          <w:p w14:paraId="1B232018" w14:textId="77777777" w:rsidR="006E4D24" w:rsidRPr="00B15E75" w:rsidRDefault="006E4D24" w:rsidP="0039477D">
            <w:pPr>
              <w:spacing w:line="240" w:lineRule="auto"/>
              <w:ind w:firstLine="0"/>
              <w:jc w:val="left"/>
              <w:rPr>
                <w:sz w:val="18"/>
                <w:szCs w:val="18"/>
              </w:rPr>
            </w:pPr>
            <w:r w:rsidRPr="00B15E75">
              <w:rPr>
                <w:sz w:val="18"/>
                <w:szCs w:val="18"/>
              </w:rPr>
              <w:t>Food</w:t>
            </w:r>
          </w:p>
        </w:tc>
        <w:tc>
          <w:tcPr>
            <w:tcW w:w="895" w:type="dxa"/>
            <w:shd w:val="clear" w:color="auto" w:fill="auto"/>
            <w:vAlign w:val="center"/>
          </w:tcPr>
          <w:p w14:paraId="2D92EDC5" w14:textId="77777777" w:rsidR="006E4D24" w:rsidRDefault="006E4D24" w:rsidP="0039477D">
            <w:pPr>
              <w:spacing w:line="240" w:lineRule="auto"/>
              <w:ind w:firstLine="0"/>
              <w:jc w:val="left"/>
              <w:rPr>
                <w:sz w:val="18"/>
                <w:szCs w:val="18"/>
              </w:rPr>
            </w:pPr>
            <w:r>
              <w:rPr>
                <w:sz w:val="18"/>
                <w:szCs w:val="18"/>
              </w:rPr>
              <w:t>binary</w:t>
            </w:r>
          </w:p>
        </w:tc>
        <w:tc>
          <w:tcPr>
            <w:tcW w:w="1667" w:type="dxa"/>
            <w:shd w:val="clear" w:color="auto" w:fill="auto"/>
            <w:vAlign w:val="center"/>
          </w:tcPr>
          <w:p w14:paraId="78B8691E" w14:textId="77777777" w:rsidR="006E4D24" w:rsidRDefault="006E4D24" w:rsidP="0039477D">
            <w:pPr>
              <w:spacing w:line="240" w:lineRule="auto"/>
              <w:ind w:firstLine="0"/>
              <w:jc w:val="left"/>
              <w:rPr>
                <w:sz w:val="18"/>
                <w:szCs w:val="18"/>
              </w:rPr>
            </w:pPr>
            <w:r>
              <w:rPr>
                <w:sz w:val="18"/>
                <w:szCs w:val="18"/>
              </w:rPr>
              <w:t>0</w:t>
            </w:r>
          </w:p>
        </w:tc>
        <w:tc>
          <w:tcPr>
            <w:tcW w:w="2166" w:type="dxa"/>
            <w:shd w:val="clear" w:color="auto" w:fill="auto"/>
            <w:vAlign w:val="center"/>
          </w:tcPr>
          <w:p w14:paraId="55A599D6" w14:textId="77777777" w:rsidR="006E4D24" w:rsidRDefault="006E4D24" w:rsidP="0039477D">
            <w:pPr>
              <w:spacing w:line="240" w:lineRule="auto"/>
              <w:ind w:firstLine="0"/>
              <w:jc w:val="left"/>
              <w:rPr>
                <w:sz w:val="18"/>
                <w:szCs w:val="18"/>
              </w:rPr>
            </w:pPr>
          </w:p>
        </w:tc>
      </w:tr>
      <w:tr w:rsidR="006E4D24" w14:paraId="4A88DF70" w14:textId="77777777" w:rsidTr="006E4D24">
        <w:trPr>
          <w:trHeight w:val="350"/>
          <w:jc w:val="center"/>
        </w:trPr>
        <w:tc>
          <w:tcPr>
            <w:tcW w:w="2406" w:type="dxa"/>
            <w:shd w:val="clear" w:color="auto" w:fill="auto"/>
          </w:tcPr>
          <w:p w14:paraId="4CC6AC02" w14:textId="77777777" w:rsidR="006E4D24" w:rsidRPr="00B15E75" w:rsidRDefault="006E4D24" w:rsidP="0039477D">
            <w:pPr>
              <w:spacing w:line="240" w:lineRule="auto"/>
              <w:ind w:firstLine="0"/>
              <w:jc w:val="left"/>
              <w:rPr>
                <w:sz w:val="18"/>
                <w:szCs w:val="18"/>
              </w:rPr>
            </w:pPr>
            <w:r w:rsidRPr="00B15E75">
              <w:rPr>
                <w:sz w:val="18"/>
                <w:szCs w:val="18"/>
              </w:rPr>
              <w:t>Health</w:t>
            </w:r>
          </w:p>
        </w:tc>
        <w:tc>
          <w:tcPr>
            <w:tcW w:w="895" w:type="dxa"/>
            <w:shd w:val="clear" w:color="auto" w:fill="auto"/>
            <w:vAlign w:val="center"/>
          </w:tcPr>
          <w:p w14:paraId="7CC1A81B" w14:textId="77777777" w:rsidR="006E4D24" w:rsidRDefault="006E4D24" w:rsidP="0039477D">
            <w:pPr>
              <w:spacing w:line="240" w:lineRule="auto"/>
              <w:ind w:firstLine="0"/>
              <w:jc w:val="left"/>
              <w:rPr>
                <w:sz w:val="18"/>
                <w:szCs w:val="18"/>
              </w:rPr>
            </w:pPr>
            <w:r>
              <w:rPr>
                <w:sz w:val="18"/>
                <w:szCs w:val="18"/>
              </w:rPr>
              <w:t>binary</w:t>
            </w:r>
          </w:p>
        </w:tc>
        <w:tc>
          <w:tcPr>
            <w:tcW w:w="1667" w:type="dxa"/>
            <w:shd w:val="clear" w:color="auto" w:fill="auto"/>
            <w:vAlign w:val="center"/>
          </w:tcPr>
          <w:p w14:paraId="2C5B1CC7" w14:textId="77777777" w:rsidR="006E4D24" w:rsidRDefault="006E4D24" w:rsidP="0039477D">
            <w:pPr>
              <w:spacing w:line="240" w:lineRule="auto"/>
              <w:ind w:firstLine="0"/>
              <w:jc w:val="left"/>
              <w:rPr>
                <w:sz w:val="18"/>
                <w:szCs w:val="18"/>
              </w:rPr>
            </w:pPr>
            <w:r>
              <w:rPr>
                <w:sz w:val="18"/>
                <w:szCs w:val="18"/>
              </w:rPr>
              <w:t>0</w:t>
            </w:r>
          </w:p>
        </w:tc>
        <w:tc>
          <w:tcPr>
            <w:tcW w:w="2166" w:type="dxa"/>
            <w:shd w:val="clear" w:color="auto" w:fill="auto"/>
            <w:vAlign w:val="center"/>
          </w:tcPr>
          <w:p w14:paraId="3E6BD9A2" w14:textId="77777777" w:rsidR="006E4D24" w:rsidRDefault="006E4D24" w:rsidP="0039477D">
            <w:pPr>
              <w:spacing w:line="240" w:lineRule="auto"/>
              <w:ind w:firstLine="0"/>
              <w:jc w:val="left"/>
              <w:rPr>
                <w:sz w:val="18"/>
                <w:szCs w:val="18"/>
              </w:rPr>
            </w:pPr>
          </w:p>
        </w:tc>
      </w:tr>
      <w:tr w:rsidR="006E4D24" w14:paraId="633FC6A7" w14:textId="77777777" w:rsidTr="006E4D24">
        <w:trPr>
          <w:trHeight w:val="350"/>
          <w:jc w:val="center"/>
        </w:trPr>
        <w:tc>
          <w:tcPr>
            <w:tcW w:w="2406" w:type="dxa"/>
            <w:tcBorders>
              <w:bottom w:val="single" w:sz="12" w:space="0" w:color="auto"/>
            </w:tcBorders>
            <w:shd w:val="clear" w:color="auto" w:fill="auto"/>
          </w:tcPr>
          <w:p w14:paraId="7FF09F61" w14:textId="77777777" w:rsidR="006E4D24" w:rsidRPr="00B15E75" w:rsidRDefault="006E4D24" w:rsidP="0039477D">
            <w:pPr>
              <w:spacing w:line="240" w:lineRule="auto"/>
              <w:ind w:firstLine="0"/>
              <w:jc w:val="left"/>
              <w:rPr>
                <w:sz w:val="18"/>
                <w:szCs w:val="18"/>
              </w:rPr>
            </w:pPr>
            <w:r w:rsidRPr="00B15E75">
              <w:rPr>
                <w:sz w:val="18"/>
                <w:szCs w:val="18"/>
              </w:rPr>
              <w:t>Computers</w:t>
            </w:r>
          </w:p>
        </w:tc>
        <w:tc>
          <w:tcPr>
            <w:tcW w:w="895" w:type="dxa"/>
            <w:tcBorders>
              <w:bottom w:val="single" w:sz="12" w:space="0" w:color="auto"/>
            </w:tcBorders>
            <w:shd w:val="clear" w:color="auto" w:fill="auto"/>
            <w:vAlign w:val="center"/>
          </w:tcPr>
          <w:p w14:paraId="4D1F4852" w14:textId="77777777" w:rsidR="006E4D24" w:rsidRDefault="006E4D24" w:rsidP="0039477D">
            <w:pPr>
              <w:spacing w:line="240" w:lineRule="auto"/>
              <w:ind w:firstLine="0"/>
              <w:jc w:val="left"/>
              <w:rPr>
                <w:sz w:val="18"/>
                <w:szCs w:val="18"/>
              </w:rPr>
            </w:pPr>
            <w:r>
              <w:rPr>
                <w:sz w:val="18"/>
                <w:szCs w:val="18"/>
              </w:rPr>
              <w:t>binary</w:t>
            </w:r>
          </w:p>
        </w:tc>
        <w:tc>
          <w:tcPr>
            <w:tcW w:w="1667" w:type="dxa"/>
            <w:tcBorders>
              <w:bottom w:val="single" w:sz="12" w:space="0" w:color="auto"/>
            </w:tcBorders>
            <w:shd w:val="clear" w:color="auto" w:fill="auto"/>
            <w:vAlign w:val="center"/>
          </w:tcPr>
          <w:p w14:paraId="442643D6" w14:textId="77777777" w:rsidR="006E4D24" w:rsidRDefault="006E4D24" w:rsidP="0039477D">
            <w:pPr>
              <w:spacing w:line="240" w:lineRule="auto"/>
              <w:ind w:firstLine="0"/>
              <w:jc w:val="left"/>
              <w:rPr>
                <w:sz w:val="18"/>
                <w:szCs w:val="18"/>
              </w:rPr>
            </w:pPr>
            <w:r>
              <w:rPr>
                <w:sz w:val="18"/>
                <w:szCs w:val="18"/>
              </w:rPr>
              <w:t>0</w:t>
            </w:r>
          </w:p>
        </w:tc>
        <w:tc>
          <w:tcPr>
            <w:tcW w:w="2166" w:type="dxa"/>
            <w:tcBorders>
              <w:bottom w:val="single" w:sz="12" w:space="0" w:color="auto"/>
            </w:tcBorders>
            <w:shd w:val="clear" w:color="auto" w:fill="auto"/>
            <w:vAlign w:val="center"/>
          </w:tcPr>
          <w:p w14:paraId="0B053E9D" w14:textId="77777777" w:rsidR="006E4D24" w:rsidRDefault="006E4D24" w:rsidP="0039477D">
            <w:pPr>
              <w:spacing w:line="240" w:lineRule="auto"/>
              <w:ind w:firstLine="0"/>
              <w:jc w:val="left"/>
              <w:rPr>
                <w:sz w:val="18"/>
                <w:szCs w:val="18"/>
              </w:rPr>
            </w:pPr>
          </w:p>
        </w:tc>
      </w:tr>
    </w:tbl>
    <w:p w14:paraId="20B4E8A9" w14:textId="77777777" w:rsidR="006E4D24" w:rsidRDefault="006E4D24" w:rsidP="006E4D24">
      <w:pPr>
        <w:spacing w:line="240" w:lineRule="auto"/>
      </w:pPr>
    </w:p>
    <w:p w14:paraId="3F229FE1" w14:textId="77777777" w:rsidR="00947EB5" w:rsidRDefault="00947EB5" w:rsidP="006E4D24">
      <w:pPr>
        <w:spacing w:line="240" w:lineRule="auto"/>
      </w:pPr>
    </w:p>
    <w:p w14:paraId="5AAA5C91" w14:textId="77777777" w:rsidR="00947EB5" w:rsidRDefault="00947EB5" w:rsidP="00947EB5">
      <w:pPr>
        <w:spacing w:line="240" w:lineRule="auto"/>
      </w:pPr>
      <w:r>
        <w:rPr>
          <w:noProof/>
        </w:rPr>
        <w:drawing>
          <wp:inline distT="0" distB="0" distL="0" distR="0" wp14:anchorId="33B269FA" wp14:editId="5E987548">
            <wp:extent cx="4315663" cy="4051300"/>
            <wp:effectExtent l="0" t="0" r="8890" b="6350"/>
            <wp:docPr id="29342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24572"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215" r="10958"/>
                    <a:stretch/>
                  </pic:blipFill>
                  <pic:spPr bwMode="auto">
                    <a:xfrm>
                      <a:off x="0" y="0"/>
                      <a:ext cx="4322295" cy="4057526"/>
                    </a:xfrm>
                    <a:prstGeom prst="rect">
                      <a:avLst/>
                    </a:prstGeom>
                    <a:noFill/>
                    <a:ln>
                      <a:noFill/>
                    </a:ln>
                    <a:extLst>
                      <a:ext uri="{53640926-AAD7-44D8-BBD7-CCE9431645EC}">
                        <a14:shadowObscured xmlns:a14="http://schemas.microsoft.com/office/drawing/2010/main"/>
                      </a:ext>
                    </a:extLst>
                  </pic:spPr>
                </pic:pic>
              </a:graphicData>
            </a:graphic>
          </wp:inline>
        </w:drawing>
      </w:r>
    </w:p>
    <w:p w14:paraId="54AE0995" w14:textId="77777777" w:rsidR="00947EB5" w:rsidRDefault="00947EB5" w:rsidP="00947EB5">
      <w:pPr>
        <w:pStyle w:val="Captions"/>
        <w:spacing w:line="240" w:lineRule="auto"/>
        <w:jc w:val="center"/>
      </w:pPr>
      <w:r w:rsidRPr="00412A60">
        <w:rPr>
          <w:b/>
          <w:bCs w:val="0"/>
        </w:rPr>
        <w:t>Fig</w:t>
      </w:r>
      <w:r>
        <w:rPr>
          <w:b/>
          <w:bCs w:val="0"/>
        </w:rPr>
        <w:t>.</w:t>
      </w:r>
      <w:r w:rsidRPr="00412A60">
        <w:rPr>
          <w:b/>
          <w:bCs w:val="0"/>
        </w:rPr>
        <w:t xml:space="preserve"> </w:t>
      </w:r>
      <w:r>
        <w:rPr>
          <w:b/>
          <w:bCs w:val="0"/>
        </w:rPr>
        <w:t>5</w:t>
      </w:r>
      <w:r w:rsidRPr="00412A60">
        <w:rPr>
          <w:b/>
          <w:bCs w:val="0"/>
        </w:rPr>
        <w:t>.</w:t>
      </w:r>
      <w:r>
        <w:t xml:space="preserve"> Distribution of number of products sold, in relation to product categories.</w:t>
      </w:r>
    </w:p>
    <w:bookmarkEnd w:id="1"/>
    <w:p w14:paraId="20041DAB" w14:textId="77777777" w:rsidR="00B51F8E" w:rsidRPr="00B94A2E" w:rsidRDefault="00B51F8E" w:rsidP="00B51F8E">
      <w:pPr>
        <w:pStyle w:val="heading1"/>
        <w:spacing w:line="240" w:lineRule="auto"/>
      </w:pPr>
      <w:r>
        <w:t>Results and Discussion</w:t>
      </w:r>
    </w:p>
    <w:p w14:paraId="5F6C2CD4" w14:textId="37D84BAC" w:rsidR="00B51F8E" w:rsidRPr="0095260A" w:rsidRDefault="00B51F8E" w:rsidP="00B51F8E">
      <w:pPr>
        <w:spacing w:line="240" w:lineRule="auto"/>
        <w:ind w:firstLine="0"/>
      </w:pPr>
      <w:r w:rsidRPr="0095260A">
        <w:t xml:space="preserve">The last analysis concerned the number of products sold on e-commerce websites in relation to product categories. Due to space limitations, this analysis is provided in this </w:t>
      </w:r>
      <w:r w:rsidR="00C37424" w:rsidRPr="0095260A">
        <w:t>s</w:t>
      </w:r>
      <w:r w:rsidRPr="0095260A">
        <w:t>upplement</w:t>
      </w:r>
      <w:r w:rsidR="00C37424" w:rsidRPr="0095260A">
        <w:t>al document</w:t>
      </w:r>
      <w:r w:rsidRPr="0095260A">
        <w:t>. This analysis was conducted by querying Dataset G from Dataset E. Dataset G denotes the number of products sold on the e-commerce website for each website that had a category (e.g., Apparel). The box plot visualization and ANOVA results shown in Fig. 5 provide several insights:</w:t>
      </w:r>
    </w:p>
    <w:p w14:paraId="54009C34" w14:textId="77777777" w:rsidR="00B51F8E" w:rsidRPr="0095260A" w:rsidRDefault="00B51F8E" w:rsidP="00B51F8E">
      <w:pPr>
        <w:pStyle w:val="ListParagraph"/>
        <w:numPr>
          <w:ilvl w:val="0"/>
          <w:numId w:val="14"/>
        </w:numPr>
        <w:spacing w:line="240" w:lineRule="auto"/>
      </w:pPr>
      <w:r w:rsidRPr="0095260A">
        <w:lastRenderedPageBreak/>
        <w:t>E-commerce websites are ranked according to the average number of products sold (vertical gray lines in Fig. 5), based on the following categories: computer, apparel, home garden, beauty fitness, food drink, business industry, and health.</w:t>
      </w:r>
    </w:p>
    <w:p w14:paraId="367552E7" w14:textId="77777777" w:rsidR="00B51F8E" w:rsidRPr="0095260A" w:rsidRDefault="00B51F8E" w:rsidP="00B51F8E">
      <w:pPr>
        <w:pStyle w:val="ListParagraph"/>
        <w:numPr>
          <w:ilvl w:val="0"/>
          <w:numId w:val="14"/>
        </w:numPr>
        <w:spacing w:line="240" w:lineRule="auto"/>
      </w:pPr>
      <w:r w:rsidRPr="0095260A">
        <w:t>The distribution of values is right skewed for all categories, as deduced from the median values (vertical white lines within the boxplots), which are well below the mean values (vertical gray lines).</w:t>
      </w:r>
    </w:p>
    <w:p w14:paraId="4DFA43DB" w14:textId="77777777" w:rsidR="00B51F8E" w:rsidRPr="0095260A" w:rsidRDefault="00B51F8E" w:rsidP="00B51F8E">
      <w:pPr>
        <w:pStyle w:val="ListParagraph"/>
        <w:numPr>
          <w:ilvl w:val="0"/>
          <w:numId w:val="14"/>
        </w:numPr>
        <w:spacing w:line="240" w:lineRule="auto"/>
      </w:pPr>
      <w:r w:rsidRPr="0095260A">
        <w:t xml:space="preserve">Based on both the median and mean values, the number of products needed to establish Health and </w:t>
      </w:r>
      <w:proofErr w:type="spellStart"/>
      <w:r w:rsidRPr="0095260A">
        <w:t>Business_Industrial</w:t>
      </w:r>
      <w:proofErr w:type="spellEnd"/>
      <w:r w:rsidRPr="0095260A">
        <w:t xml:space="preserve"> e-commerce businesses is the lowest.</w:t>
      </w:r>
    </w:p>
    <w:p w14:paraId="1509FD88" w14:textId="77777777" w:rsidR="00B51F8E" w:rsidRPr="0095260A" w:rsidRDefault="00B51F8E" w:rsidP="00B51F8E">
      <w:pPr>
        <w:pStyle w:val="ListParagraph"/>
        <w:numPr>
          <w:ilvl w:val="0"/>
          <w:numId w:val="14"/>
        </w:numPr>
        <w:spacing w:line="240" w:lineRule="auto"/>
      </w:pPr>
      <w:r w:rsidRPr="0095260A">
        <w:t>Websites that sell Apparel have the highest median value of 78.</w:t>
      </w:r>
    </w:p>
    <w:p w14:paraId="3B4FFD22" w14:textId="6ECB1FE7" w:rsidR="00B51F8E" w:rsidRPr="0095260A" w:rsidRDefault="00B51F8E" w:rsidP="00B51F8E">
      <w:pPr>
        <w:pStyle w:val="ListParagraph"/>
        <w:numPr>
          <w:ilvl w:val="0"/>
          <w:numId w:val="14"/>
        </w:numPr>
        <w:spacing w:line="240" w:lineRule="auto"/>
      </w:pPr>
      <w:r w:rsidRPr="0095260A">
        <w:t xml:space="preserve">90% of the websites have less than around 400 products (the </w:t>
      </w:r>
      <w:r w:rsidR="00582AA3" w:rsidRPr="0095260A">
        <w:t>right-hand</w:t>
      </w:r>
      <w:r w:rsidRPr="0095260A">
        <w:t xml:space="preserve"> value of the horizontal blue lines </w:t>
      </w:r>
      <w:proofErr w:type="gramStart"/>
      <w:r w:rsidRPr="0095260A">
        <w:t>do</w:t>
      </w:r>
      <w:proofErr w:type="gramEnd"/>
      <w:r w:rsidRPr="0095260A">
        <w:t xml:space="preserve"> not go beyond 400).</w:t>
      </w:r>
    </w:p>
    <w:p w14:paraId="06AEDA12" w14:textId="77777777" w:rsidR="00B51F8E" w:rsidRPr="0095260A" w:rsidRDefault="00B51F8E" w:rsidP="00B51F8E">
      <w:pPr>
        <w:pStyle w:val="ListParagraph"/>
        <w:numPr>
          <w:ilvl w:val="0"/>
          <w:numId w:val="14"/>
        </w:numPr>
        <w:spacing w:line="240" w:lineRule="auto"/>
      </w:pPr>
      <w:r w:rsidRPr="0095260A">
        <w:t>75% of the websites have less than around 250 products (251, to be exact).</w:t>
      </w:r>
    </w:p>
    <w:p w14:paraId="7CF09A69" w14:textId="02D6180E" w:rsidR="00B51F8E" w:rsidRPr="0095260A" w:rsidRDefault="00B51F8E" w:rsidP="00B51F8E">
      <w:pPr>
        <w:pStyle w:val="ListParagraph"/>
        <w:numPr>
          <w:ilvl w:val="0"/>
          <w:numId w:val="14"/>
        </w:numPr>
        <w:spacing w:line="240" w:lineRule="auto"/>
      </w:pPr>
      <w:r w:rsidRPr="0095260A">
        <w:t>Parametric ANOVA test suggests very strongly, with a p value very close to zero, that the differences in means (as estimated by averages) across categories is statistically significant. As can be read from the individual box plots, the data for at least some of the categories are most likely not normally distributed, thus, applying a non-parametric comparison test, such as the Kruskal-Wallis H Test, followed by a non-parametric pairwise comparison test, such as the Dunn test is more appropriate [</w:t>
      </w:r>
      <w:r w:rsidR="00151151" w:rsidRPr="0095260A">
        <w:t>37</w:t>
      </w:r>
      <w:r w:rsidRPr="0095260A">
        <w:t>]. Yet, the ANOVA results are still valuable as they signal the high likelihood that the mean number of products across categories are not equal.</w:t>
      </w:r>
    </w:p>
    <w:p w14:paraId="230A5BB0" w14:textId="77777777" w:rsidR="00B51F8E" w:rsidRDefault="00B51F8E" w:rsidP="00B51F8E">
      <w:pPr>
        <w:spacing w:line="240" w:lineRule="auto"/>
        <w:ind w:firstLine="0"/>
      </w:pPr>
    </w:p>
    <w:p w14:paraId="756006DF" w14:textId="40A235F1" w:rsidR="00747D8C" w:rsidRDefault="00747D8C" w:rsidP="00747D8C">
      <w:pPr>
        <w:pStyle w:val="heading1"/>
        <w:numPr>
          <w:ilvl w:val="0"/>
          <w:numId w:val="0"/>
        </w:numPr>
        <w:spacing w:line="240" w:lineRule="auto"/>
        <w:ind w:left="567" w:hanging="567"/>
      </w:pPr>
      <w:r>
        <w:t>Acknowledgement</w:t>
      </w:r>
    </w:p>
    <w:p w14:paraId="7FF486A1" w14:textId="77777777" w:rsidR="00747D8C" w:rsidRPr="0095260A" w:rsidRDefault="00747D8C" w:rsidP="00747D8C">
      <w:pPr>
        <w:spacing w:line="240" w:lineRule="auto"/>
        <w:ind w:firstLine="0"/>
      </w:pPr>
      <w:r w:rsidRPr="0095260A">
        <w:t xml:space="preserve">The authors thank Mr. Sumit </w:t>
      </w:r>
      <w:proofErr w:type="spellStart"/>
      <w:r w:rsidRPr="0095260A">
        <w:t>Ghugharwal</w:t>
      </w:r>
      <w:proofErr w:type="spellEnd"/>
      <w:r w:rsidRPr="0095260A">
        <w:t>, Founder of the Dubai-based My Lead Fox SaaS software, for allowing the research team to use the dataset for research and to publish the analysis results of the filtered dataset publicly.</w:t>
      </w:r>
    </w:p>
    <w:p w14:paraId="4387327F" w14:textId="77777777" w:rsidR="00752584" w:rsidRDefault="009B2539" w:rsidP="00E5671C">
      <w:pPr>
        <w:pStyle w:val="heading1"/>
        <w:numPr>
          <w:ilvl w:val="0"/>
          <w:numId w:val="0"/>
        </w:numPr>
        <w:spacing w:line="240" w:lineRule="auto"/>
        <w:ind w:left="567" w:hanging="567"/>
      </w:pPr>
      <w:r>
        <w:t>References</w:t>
      </w:r>
    </w:p>
    <w:p w14:paraId="5F47FFC4" w14:textId="5AB79C64" w:rsidR="008C0627" w:rsidRPr="002A2B1D" w:rsidRDefault="008C0627" w:rsidP="008C0627">
      <w:pPr>
        <w:pStyle w:val="referenceitem"/>
      </w:pPr>
      <w:r w:rsidRPr="002A2B1D">
        <w:t>Keenan, M.: Global Ecommerce Statistics: Trends to Guide Your Store in 2024. (2023). Shopify Plus. https://www.shopify.com/enterprise/global-ecommerce-statistics. Accessed: 25 December 2023.</w:t>
      </w:r>
    </w:p>
    <w:p w14:paraId="682BF1C5" w14:textId="50F78623" w:rsidR="008C0627" w:rsidRPr="002A2B1D" w:rsidRDefault="008C0627" w:rsidP="009C1D74">
      <w:pPr>
        <w:pStyle w:val="referenceitem"/>
        <w:jc w:val="left"/>
      </w:pPr>
      <w:r w:rsidRPr="002A2B1D">
        <w:t>Statista. eCommerce - Worldwide. https://www.statista.com/outlook/dmo/ecommerce/worldwide. Accessed: 25 December 2023.</w:t>
      </w:r>
    </w:p>
    <w:p w14:paraId="78E6FE29" w14:textId="42E1D670" w:rsidR="008C0627" w:rsidRPr="002A2B1D" w:rsidRDefault="008C0627" w:rsidP="008C0627">
      <w:pPr>
        <w:pStyle w:val="referenceitem"/>
      </w:pPr>
      <w:r w:rsidRPr="002A2B1D">
        <w:t>Adobe Experience Cloud Team. Top ecommerce statistics for 2023 (2023). https://business.adobe.com/blog/basics/2023-ecommerce-statistics. Accessed: 25 De-</w:t>
      </w:r>
      <w:proofErr w:type="spellStart"/>
      <w:r w:rsidRPr="002A2B1D">
        <w:t>cember</w:t>
      </w:r>
      <w:proofErr w:type="spellEnd"/>
      <w:r w:rsidRPr="002A2B1D">
        <w:t xml:space="preserve"> 2023.</w:t>
      </w:r>
    </w:p>
    <w:p w14:paraId="50B164CD" w14:textId="6CEC6BD7" w:rsidR="008C0627" w:rsidRPr="002A2B1D" w:rsidRDefault="008C0627" w:rsidP="008C0627">
      <w:pPr>
        <w:pStyle w:val="referenceitem"/>
      </w:pPr>
      <w:r w:rsidRPr="002A2B1D">
        <w:t xml:space="preserve">Lau, L.: Ecommerce in the Middle East: Statistics and Trends in 2023. </w:t>
      </w:r>
      <w:proofErr w:type="spellStart"/>
      <w:r w:rsidRPr="002A2B1D">
        <w:t>Orienteed</w:t>
      </w:r>
      <w:proofErr w:type="spellEnd"/>
      <w:r w:rsidRPr="002A2B1D">
        <w:t xml:space="preserve"> e-commerce Solutions. (2023). https://orienteed.com/en/ecommerce-middle-east-statistics-trends-2023/. Accessed: 25 December 2023.</w:t>
      </w:r>
    </w:p>
    <w:p w14:paraId="4074FAB1" w14:textId="44F1F930" w:rsidR="008C0627" w:rsidRPr="002A2B1D" w:rsidRDefault="008C0627" w:rsidP="008C0627">
      <w:pPr>
        <w:pStyle w:val="referenceitem"/>
      </w:pPr>
      <w:proofErr w:type="spellStart"/>
      <w:r w:rsidRPr="002A2B1D">
        <w:lastRenderedPageBreak/>
        <w:t>Alzaabi</w:t>
      </w:r>
      <w:proofErr w:type="spellEnd"/>
      <w:r w:rsidRPr="002A2B1D">
        <w:t xml:space="preserve">, K., Hamad, M.O., Omar, R., Romle, A.R.: Organizational factors and e-commerce adoption in SMEs of United Arab Emirates: mediating role of perceived </w:t>
      </w:r>
      <w:proofErr w:type="spellStart"/>
      <w:r w:rsidRPr="002A2B1D">
        <w:t>stra-tegic</w:t>
      </w:r>
      <w:proofErr w:type="spellEnd"/>
      <w:r w:rsidRPr="002A2B1D">
        <w:t xml:space="preserve"> value. International Journal of Entrepreneurship 25(1), 1-18 (2021).</w:t>
      </w:r>
    </w:p>
    <w:p w14:paraId="62C2398E" w14:textId="11F17770" w:rsidR="008C0627" w:rsidRPr="002A2B1D" w:rsidRDefault="008C0627" w:rsidP="008C0627">
      <w:pPr>
        <w:pStyle w:val="referenceitem"/>
      </w:pPr>
      <w:r w:rsidRPr="002A2B1D">
        <w:t xml:space="preserve">Market Research. (2023). United Arab Emirates B2C Ecommerce Market </w:t>
      </w:r>
      <w:proofErr w:type="spellStart"/>
      <w:r w:rsidRPr="002A2B1D">
        <w:t>Opportuni</w:t>
      </w:r>
      <w:proofErr w:type="spellEnd"/>
      <w:r w:rsidRPr="002A2B1D">
        <w:t>-ties Databook – 100+ KPIs on Ecommerce Verticals (Shopping, Travel, Food Service, Media &amp; Entertainment, Technology), Market Share by Key Players, Sales Channel Anal-</w:t>
      </w:r>
      <w:proofErr w:type="spellStart"/>
      <w:r w:rsidRPr="002A2B1D">
        <w:t>ysis</w:t>
      </w:r>
      <w:proofErr w:type="spellEnd"/>
      <w:r w:rsidRPr="002A2B1D">
        <w:t>, Payment Instrument, Consumer Demographics - Q1 2023 Update. https://www.marketresearch.com/PayNXT360-v4075/United-Arab-Emirates-B2C-Ecommerce-33669535/. Accessed: 25 December 2023.</w:t>
      </w:r>
    </w:p>
    <w:p w14:paraId="5026F3F2" w14:textId="777FC4B9" w:rsidR="008C0627" w:rsidRPr="002A2B1D" w:rsidRDefault="008C0627" w:rsidP="008C0627">
      <w:pPr>
        <w:pStyle w:val="referenceitem"/>
      </w:pPr>
      <w:r w:rsidRPr="002A2B1D">
        <w:t>Dubai Chamber. UAE e-commerce market forecast to reach $9.2 billion by 2026. (2022). https://www.dubaichamber.com/en/media-center/news/uae-e-commerce-market-forecast-to-reach-9-2-billion-by-2026/. Accessed: 26 Oct. 2023.</w:t>
      </w:r>
    </w:p>
    <w:p w14:paraId="01697252" w14:textId="7BAAE085" w:rsidR="008C0627" w:rsidRPr="002A2B1D" w:rsidRDefault="008C0627" w:rsidP="008C0627">
      <w:pPr>
        <w:pStyle w:val="referenceitem"/>
      </w:pPr>
      <w:r w:rsidRPr="002A2B1D">
        <w:t>ECBD. eCommerce Market UAE - Data, Trends, Top Stores (2022). ECDB. https://ecommercedb.com/markets/ae/all. Accessed: 25 December 2023.</w:t>
      </w:r>
    </w:p>
    <w:p w14:paraId="45535A61" w14:textId="65743D22" w:rsidR="008C0627" w:rsidRPr="002A2B1D" w:rsidRDefault="008C0627" w:rsidP="008C0627">
      <w:pPr>
        <w:pStyle w:val="referenceitem"/>
      </w:pPr>
      <w:proofErr w:type="spellStart"/>
      <w:r w:rsidRPr="002A2B1D">
        <w:t>Farhangmehr</w:t>
      </w:r>
      <w:proofErr w:type="spellEnd"/>
      <w:r w:rsidRPr="002A2B1D">
        <w:t xml:space="preserve">, M., Marques, S., Silva, J.: Consumer and retailer perceptions of </w:t>
      </w:r>
      <w:proofErr w:type="spellStart"/>
      <w:r w:rsidRPr="002A2B1D">
        <w:t>hy-permarkets</w:t>
      </w:r>
      <w:proofErr w:type="spellEnd"/>
      <w:r w:rsidRPr="002A2B1D">
        <w:t xml:space="preserve"> and traditional retail stores in Portugal. Journal of Retailing and Consumer services 7(4) 197-206 (2000). https://doi.org/10.1016/s0969-6989(00)00019-9</w:t>
      </w:r>
    </w:p>
    <w:p w14:paraId="29BF039F" w14:textId="375A3411" w:rsidR="008C0627" w:rsidRPr="002A2B1D" w:rsidRDefault="008C0627" w:rsidP="008C0627">
      <w:pPr>
        <w:pStyle w:val="referenceitem"/>
      </w:pPr>
      <w:r w:rsidRPr="002A2B1D">
        <w:t>Yadav, R., Pathak, G.S.: Young consumers’ intention towards buying green prod-</w:t>
      </w:r>
      <w:proofErr w:type="spellStart"/>
      <w:r w:rsidRPr="002A2B1D">
        <w:t>ucts</w:t>
      </w:r>
      <w:proofErr w:type="spellEnd"/>
      <w:r w:rsidRPr="002A2B1D">
        <w:t xml:space="preserve"> in a developing nation: Extending the theory of planned behavior. Journal of Cleaner Production 135, 732-739 (2016). https://doi.org/10.1016/j.jclepro.2016.06.120</w:t>
      </w:r>
    </w:p>
    <w:p w14:paraId="1FFABB89" w14:textId="1A8C4D8A" w:rsidR="008C0627" w:rsidRPr="002A2B1D" w:rsidRDefault="008C0627" w:rsidP="008C0627">
      <w:pPr>
        <w:pStyle w:val="referenceitem"/>
      </w:pPr>
      <w:r w:rsidRPr="002A2B1D">
        <w:t xml:space="preserve">Attar, R.W., </w:t>
      </w:r>
      <w:proofErr w:type="spellStart"/>
      <w:r w:rsidRPr="002A2B1D">
        <w:t>Almusharraf</w:t>
      </w:r>
      <w:proofErr w:type="spellEnd"/>
      <w:r w:rsidRPr="002A2B1D">
        <w:t xml:space="preserve">, A., </w:t>
      </w:r>
      <w:proofErr w:type="spellStart"/>
      <w:r w:rsidRPr="002A2B1D">
        <w:t>Alfawaz</w:t>
      </w:r>
      <w:proofErr w:type="spellEnd"/>
      <w:r w:rsidRPr="002A2B1D">
        <w:t xml:space="preserve">, A., </w:t>
      </w:r>
      <w:proofErr w:type="spellStart"/>
      <w:r w:rsidRPr="002A2B1D">
        <w:t>Hajli</w:t>
      </w:r>
      <w:proofErr w:type="spellEnd"/>
      <w:r w:rsidRPr="002A2B1D">
        <w:t>, N.: New Trends in E-Commerce Research: Linking Social Commerce and Sharing Commerce: A Systematic Literature Review. Sustainability, 14(23), 16024 (2022). https://doi.org/10.3390/su142316024</w:t>
      </w:r>
    </w:p>
    <w:p w14:paraId="70F94943" w14:textId="1B72C610" w:rsidR="008C0627" w:rsidRPr="002A2B1D" w:rsidRDefault="008C0627" w:rsidP="008C0627">
      <w:pPr>
        <w:pStyle w:val="referenceitem"/>
      </w:pPr>
      <w:proofErr w:type="spellStart"/>
      <w:r w:rsidRPr="002A2B1D">
        <w:t>Kolotylo</w:t>
      </w:r>
      <w:proofErr w:type="spellEnd"/>
      <w:r w:rsidRPr="002A2B1D">
        <w:t>-Kulkarni, M., Xia, W., Dhillon, G.: Information disclosure in e-commerce: A systematic review and agenda for future research. Journal of Business Research, 126, 221-238 (2021). https://doi.org/10.1016/j.jbusres.2020.12.006</w:t>
      </w:r>
    </w:p>
    <w:p w14:paraId="267C8F05" w14:textId="4C890EE0" w:rsidR="008C0627" w:rsidRPr="002A2B1D" w:rsidRDefault="008C0627" w:rsidP="008C0627">
      <w:pPr>
        <w:pStyle w:val="referenceitem"/>
      </w:pPr>
      <w:r w:rsidRPr="002A2B1D">
        <w:t xml:space="preserve">Hazarika, B.B., Mousavi, R.: Review of cross-border E-commerce and </w:t>
      </w:r>
      <w:proofErr w:type="spellStart"/>
      <w:r w:rsidRPr="002A2B1D">
        <w:t>direc-tions</w:t>
      </w:r>
      <w:proofErr w:type="spellEnd"/>
      <w:r w:rsidRPr="002A2B1D">
        <w:t xml:space="preserve"> for future research. Journal of Global Information Management (JGIM), 30(2), 1-18 (2021). https://doi.org/10.4018/jgim.20220701oa02 </w:t>
      </w:r>
    </w:p>
    <w:p w14:paraId="13877A14" w14:textId="410C8735" w:rsidR="008C0627" w:rsidRPr="002A2B1D" w:rsidRDefault="008C0627" w:rsidP="008C0627">
      <w:pPr>
        <w:pStyle w:val="referenceitem"/>
      </w:pPr>
      <w:r w:rsidRPr="002A2B1D">
        <w:t xml:space="preserve">Yuan, C.H., Wu, C.H., Wang, D., Yao, S., Feng, Y.: Review of consumer-to-consumer E-commerce research collaboration. Journal of Organizational and End User Computing (JOEUC), 33(4), 167-184 (2021). https://doi.org/10.4018/joeuc.20210701.oa8 </w:t>
      </w:r>
    </w:p>
    <w:p w14:paraId="4F62FAC6" w14:textId="11541CBB" w:rsidR="008C0627" w:rsidRPr="002A2B1D" w:rsidRDefault="008C0627" w:rsidP="008C0627">
      <w:pPr>
        <w:pStyle w:val="referenceitem"/>
      </w:pPr>
      <w:r w:rsidRPr="002A2B1D">
        <w:t>Ferraz, R.M., da Veiga, C.P., da Veiga, C.R.P., Furquim, T.S.G., da Silva, W.V.: After-Sales Attributes in E-Commerce: A Systematic Literature Review and Future Research Agenda. Journal of Theoretical and Applied Electronic Commerce Research, 18(1), 475-500 (2023). https://doi.org/10.3390/jtaer18010025</w:t>
      </w:r>
    </w:p>
    <w:p w14:paraId="233B6FE6" w14:textId="62DEE136" w:rsidR="008C0627" w:rsidRPr="002A2B1D" w:rsidRDefault="008C0627" w:rsidP="008C0627">
      <w:pPr>
        <w:pStyle w:val="referenceitem"/>
      </w:pPr>
      <w:proofErr w:type="spellStart"/>
      <w:r w:rsidRPr="002A2B1D">
        <w:t>Penu</w:t>
      </w:r>
      <w:proofErr w:type="spellEnd"/>
      <w:r w:rsidRPr="002A2B1D">
        <w:t xml:space="preserve">, O.K.A., Boateng, R., Babatope, L.O.: E-Commerce and </w:t>
      </w:r>
      <w:proofErr w:type="spellStart"/>
      <w:r w:rsidRPr="002A2B1D">
        <w:t>Globaliza-tion</w:t>
      </w:r>
      <w:proofErr w:type="spellEnd"/>
      <w:r w:rsidRPr="002A2B1D">
        <w:t>: A Bibliometric Review of 24 Years of Research. Digital Innovations, Business and Society in Africa: New Frontiers and a Shared Strategic Vision, 3-29 (2022).  https://doi.org/10.1007/978-3-030-77987-0_1</w:t>
      </w:r>
    </w:p>
    <w:p w14:paraId="3A408899" w14:textId="7C8CC9E4" w:rsidR="008C0627" w:rsidRPr="002A2B1D" w:rsidRDefault="008C0627" w:rsidP="008C0627">
      <w:pPr>
        <w:pStyle w:val="referenceitem"/>
      </w:pPr>
      <w:r w:rsidRPr="002A2B1D">
        <w:t xml:space="preserve">Bandara, R., Fernando, M., Akter, S.: Privacy concerns in E-commerce: A taxonomy and a future research agenda. Electronic Markets, 30(3), 629-647 (2020).  https://doi.org/10.1007/s12525-019-00375-6 </w:t>
      </w:r>
    </w:p>
    <w:p w14:paraId="58C51858" w14:textId="402A3B1F" w:rsidR="008C0627" w:rsidRPr="002A2B1D" w:rsidRDefault="008C0627" w:rsidP="008C0627">
      <w:pPr>
        <w:pStyle w:val="referenceitem"/>
      </w:pPr>
      <w:r w:rsidRPr="002A2B1D">
        <w:t>Holland, C.P., Gutiérrez-</w:t>
      </w:r>
      <w:proofErr w:type="spellStart"/>
      <w:r w:rsidRPr="002A2B1D">
        <w:t>Leefmans</w:t>
      </w:r>
      <w:proofErr w:type="spellEnd"/>
      <w:r w:rsidRPr="002A2B1D">
        <w:t xml:space="preserve">, M.: A taxonomy of SME e-commerce platforms derived from a market-level analysis. International Journal of Electronic Commerce, 22(2), 161-201 (2018). https://doi.org/10.1080/10864415.2017.1364114 </w:t>
      </w:r>
    </w:p>
    <w:p w14:paraId="1C43BBBE" w14:textId="2F2AE184" w:rsidR="008C0627" w:rsidRPr="002A2B1D" w:rsidRDefault="008C0627" w:rsidP="008C0627">
      <w:pPr>
        <w:pStyle w:val="referenceitem"/>
      </w:pPr>
      <w:r w:rsidRPr="002A2B1D">
        <w:t xml:space="preserve">Sondhi, P., Sharma, M., Kolari, P., Zhai, C.: A taxonomy of queries for e-commerce search. In The 41st International ACM SIGIR Conference on Research &amp; Development in </w:t>
      </w:r>
      <w:r w:rsidRPr="002A2B1D">
        <w:lastRenderedPageBreak/>
        <w:t xml:space="preserve">Information Retrieval, pp. 1245-1248 (2018, June). https://doi.org/10.1145/3209978.3210152 </w:t>
      </w:r>
    </w:p>
    <w:p w14:paraId="6D861E58" w14:textId="288410EE" w:rsidR="008C0627" w:rsidRPr="002A2B1D" w:rsidRDefault="008C0627" w:rsidP="008C0627">
      <w:pPr>
        <w:pStyle w:val="referenceitem"/>
      </w:pPr>
      <w:r w:rsidRPr="002A2B1D">
        <w:t xml:space="preserve">Aanen, S.S., </w:t>
      </w:r>
      <w:proofErr w:type="spellStart"/>
      <w:r w:rsidRPr="002A2B1D">
        <w:t>Vandic</w:t>
      </w:r>
      <w:proofErr w:type="spellEnd"/>
      <w:r w:rsidRPr="002A2B1D">
        <w:t xml:space="preserve">, D., </w:t>
      </w:r>
      <w:proofErr w:type="spellStart"/>
      <w:r w:rsidRPr="002A2B1D">
        <w:t>Frasincar</w:t>
      </w:r>
      <w:proofErr w:type="spellEnd"/>
      <w:r w:rsidRPr="002A2B1D">
        <w:t>, F.: Automated product taxonomy mapping in an e-commerce environment. Expert Systems with Applications, 42(3), 1298-1313 (2015). https://doi.org/10.1016/j.eswa.2014.09.032</w:t>
      </w:r>
    </w:p>
    <w:p w14:paraId="4D470A42" w14:textId="0AD43109" w:rsidR="008C0627" w:rsidRPr="002A2B1D" w:rsidRDefault="008C0627" w:rsidP="008C0627">
      <w:pPr>
        <w:pStyle w:val="referenceitem"/>
      </w:pPr>
      <w:proofErr w:type="spellStart"/>
      <w:r w:rsidRPr="002A2B1D">
        <w:t>ALadan</w:t>
      </w:r>
      <w:proofErr w:type="spellEnd"/>
      <w:r w:rsidRPr="002A2B1D">
        <w:t xml:space="preserve">, M.I.: E-commerce security challenges: a taxonomy. Journal of Eco-nomics, Business and Management, 4(10), 589-593 (2016). Available at: http://www.joebm.com/vol4/457-MH0011.pdf. Accessed: 25 December 2023. https://doi.org/10.18178/joebm.2016.4.10.457 </w:t>
      </w:r>
    </w:p>
    <w:p w14:paraId="39615C38" w14:textId="0969D939" w:rsidR="008C0627" w:rsidRPr="002A2B1D" w:rsidRDefault="008C0627" w:rsidP="008C0627">
      <w:pPr>
        <w:pStyle w:val="referenceitem"/>
      </w:pPr>
      <w:proofErr w:type="spellStart"/>
      <w:r w:rsidRPr="002A2B1D">
        <w:t>Mileros</w:t>
      </w:r>
      <w:proofErr w:type="spellEnd"/>
      <w:r w:rsidRPr="002A2B1D">
        <w:t xml:space="preserve">, M.D., </w:t>
      </w:r>
      <w:proofErr w:type="spellStart"/>
      <w:r w:rsidRPr="002A2B1D">
        <w:t>Lakemond</w:t>
      </w:r>
      <w:proofErr w:type="spellEnd"/>
      <w:r w:rsidRPr="002A2B1D">
        <w:t xml:space="preserve">, N., </w:t>
      </w:r>
      <w:proofErr w:type="spellStart"/>
      <w:r w:rsidRPr="002A2B1D">
        <w:t>Forchheimer</w:t>
      </w:r>
      <w:proofErr w:type="spellEnd"/>
      <w:r w:rsidRPr="002A2B1D">
        <w:t>, R.: Towards a Taxonomy of E-Commerce: Characterizing Content Creator-based Business Models. Technology Inno-</w:t>
      </w:r>
      <w:proofErr w:type="spellStart"/>
      <w:r w:rsidRPr="002A2B1D">
        <w:t>vation</w:t>
      </w:r>
      <w:proofErr w:type="spellEnd"/>
      <w:r w:rsidRPr="002A2B1D">
        <w:t xml:space="preserve"> Management Review 9, 10: 62–77 (2019). Available at: https://www.timreview.ca/article/1276. Accessed: 25 December 2023. </w:t>
      </w:r>
    </w:p>
    <w:p w14:paraId="671BACCE" w14:textId="3CBF26F7" w:rsidR="008C0627" w:rsidRPr="002A2B1D" w:rsidRDefault="008C0627" w:rsidP="008C0627">
      <w:pPr>
        <w:pStyle w:val="referenceitem"/>
      </w:pPr>
      <w:r w:rsidRPr="002A2B1D">
        <w:t>Kejriwal, M., Shen, K.: A Lightweight Global Taxonomy Induction System for E-Commerce Concept Labels. In Cyber Security and Social Media Applications, pp. 99-114 (2023). Springer Nature Switzerland. https://doi.org/10.1007/978-3-031-33065-0_5</w:t>
      </w:r>
    </w:p>
    <w:p w14:paraId="2BC13A39" w14:textId="0C46A19C" w:rsidR="008C0627" w:rsidRPr="002A2B1D" w:rsidRDefault="008C0627" w:rsidP="008C0627">
      <w:pPr>
        <w:pStyle w:val="referenceitem"/>
      </w:pPr>
      <w:r w:rsidRPr="002A2B1D">
        <w:t xml:space="preserve">Dhanapal, S., Vashu, D., Subramaniam, T.: Perceptions on the challenges of online purchasing: a study from “baby boomers”, generation “X” and generation “Y” point of views. </w:t>
      </w:r>
      <w:proofErr w:type="spellStart"/>
      <w:r w:rsidRPr="002A2B1D">
        <w:t>Contaduría</w:t>
      </w:r>
      <w:proofErr w:type="spellEnd"/>
      <w:r w:rsidRPr="002A2B1D">
        <w:t xml:space="preserve"> y </w:t>
      </w:r>
      <w:proofErr w:type="spellStart"/>
      <w:r w:rsidRPr="002A2B1D">
        <w:t>Administración</w:t>
      </w:r>
      <w:proofErr w:type="spellEnd"/>
      <w:r w:rsidRPr="002A2B1D">
        <w:t xml:space="preserve"> 60, 107-132 (2015). https://doi.org/10.1016/j.cya.2015.08.003</w:t>
      </w:r>
    </w:p>
    <w:p w14:paraId="2EE358F3" w14:textId="0CB282EA" w:rsidR="008C0627" w:rsidRPr="002A2B1D" w:rsidRDefault="008C0627" w:rsidP="008C0627">
      <w:pPr>
        <w:pStyle w:val="referenceitem"/>
      </w:pPr>
      <w:proofErr w:type="spellStart"/>
      <w:r w:rsidRPr="002A2B1D">
        <w:t>Vinayakumar</w:t>
      </w:r>
      <w:proofErr w:type="spellEnd"/>
      <w:r w:rsidRPr="002A2B1D">
        <w:t xml:space="preserve">, R., Poornachandran, P., Soman, K.P.: Scalable Framework for Cyber Threat Situational Awareness Based on Domain Name Systems Data Analysis. In: Roy, S., Samui, P., Deo, R., </w:t>
      </w:r>
      <w:proofErr w:type="spellStart"/>
      <w:r w:rsidRPr="002A2B1D">
        <w:t>Ntalampiras</w:t>
      </w:r>
      <w:proofErr w:type="spellEnd"/>
      <w:r w:rsidRPr="002A2B1D">
        <w:t>, S. (eds) Big Data in Engineering Applica-</w:t>
      </w:r>
      <w:proofErr w:type="spellStart"/>
      <w:r w:rsidRPr="002A2B1D">
        <w:t>tions</w:t>
      </w:r>
      <w:proofErr w:type="spellEnd"/>
      <w:r w:rsidRPr="002A2B1D">
        <w:t>. Studies in Big Data, vol 44. Springer, Singapore (2018). https://doi.org/10.1007/978-981-10-8476-8_6. Available under https://link.springer.com/chapter/10.1007/978-981-10-8476-8_6.</w:t>
      </w:r>
    </w:p>
    <w:p w14:paraId="62D83D9D" w14:textId="3755090D" w:rsidR="008C0627" w:rsidRPr="002A2B1D" w:rsidRDefault="008C0627" w:rsidP="008C0627">
      <w:pPr>
        <w:pStyle w:val="referenceitem"/>
      </w:pPr>
      <w:r w:rsidRPr="002A2B1D">
        <w:t xml:space="preserve">Trevisan, M., Soro, F., </w:t>
      </w:r>
      <w:proofErr w:type="spellStart"/>
      <w:r w:rsidRPr="002A2B1D">
        <w:t>Mellia</w:t>
      </w:r>
      <w:proofErr w:type="spellEnd"/>
      <w:r w:rsidRPr="002A2B1D">
        <w:t xml:space="preserve">, M., Drago, I., Morla, R.: Does domain name </w:t>
      </w:r>
      <w:proofErr w:type="spellStart"/>
      <w:r w:rsidRPr="002A2B1D">
        <w:t>en-cryption</w:t>
      </w:r>
      <w:proofErr w:type="spellEnd"/>
      <w:r w:rsidRPr="002A2B1D">
        <w:t xml:space="preserve"> increase users' </w:t>
      </w:r>
      <w:proofErr w:type="gramStart"/>
      <w:r w:rsidRPr="002A2B1D">
        <w:t>privacy?.</w:t>
      </w:r>
      <w:proofErr w:type="gramEnd"/>
      <w:r w:rsidRPr="002A2B1D">
        <w:t xml:space="preserve"> ACM SIGCOMM Computer Communication Review, 50(3), 16-22 (2020). https://doi.org/10.1145/3411740.3411743</w:t>
      </w:r>
    </w:p>
    <w:p w14:paraId="1CC099FC" w14:textId="388BAAC3" w:rsidR="008C0627" w:rsidRPr="002A2B1D" w:rsidRDefault="008C0627" w:rsidP="008C0627">
      <w:pPr>
        <w:pStyle w:val="referenceitem"/>
      </w:pPr>
      <w:r w:rsidRPr="002A2B1D">
        <w:t>Sun, G., Ye, F., Chai, T., Zhang, Z., Tong, X., Prasad, S.: Gambling Domain Name Recognition via Certificate and Textual Analysis. The Computer Journal, 66(8), 1829-1839 (2023). https://doi.org/10.1093/comjnl/bxac043. Available under https://academic.oup.com/comjnl/article/66/8/1829/6570684.</w:t>
      </w:r>
    </w:p>
    <w:p w14:paraId="23E02C3E" w14:textId="0EBE3AD2" w:rsidR="008C0627" w:rsidRPr="002A2B1D" w:rsidRDefault="008C0627" w:rsidP="008C0627">
      <w:pPr>
        <w:pStyle w:val="referenceitem"/>
      </w:pPr>
      <w:r w:rsidRPr="002A2B1D">
        <w:t>Mossberger, K., Martini, N.F., McCullough, M., Tolbert, C.J.: Digital economic activity and resilience for metros and small businesses during Covid-19. Small Business Economics, 60(4), 1699-1717 (2023). https://doi.org/10.1007/s11187-022-00674-x</w:t>
      </w:r>
    </w:p>
    <w:p w14:paraId="6A0E1C3D" w14:textId="32E3409D" w:rsidR="008C0627" w:rsidRPr="002A2B1D" w:rsidRDefault="008C0627" w:rsidP="008C0627">
      <w:pPr>
        <w:pStyle w:val="referenceitem"/>
      </w:pPr>
      <w:r w:rsidRPr="002A2B1D">
        <w:t>Moro-Visconti, R.: Domain Name and Website Valuation. In The Valuation of Digital Intangibles: Technology, Marketing, and the Metaverse. pp. 349-381 (2022). Springer International Publishing. https://doi.org/10.1007/978-3-031-09237-4_11</w:t>
      </w:r>
    </w:p>
    <w:p w14:paraId="3A5E4892" w14:textId="533294F6" w:rsidR="008C0627" w:rsidRPr="002A2B1D" w:rsidRDefault="008C0627" w:rsidP="008C0627">
      <w:pPr>
        <w:pStyle w:val="referenceitem"/>
      </w:pPr>
      <w:proofErr w:type="spellStart"/>
      <w:r w:rsidRPr="002A2B1D">
        <w:t>Ologunebi</w:t>
      </w:r>
      <w:proofErr w:type="spellEnd"/>
      <w:r w:rsidRPr="002A2B1D">
        <w:t>, J., Taiwo, E.O.: The Importance of SEO and SEM in improving brand visibility in E-commerce industry; A study of Decathlon, Amazon and ASOS. (November 20, 2023). https://doi.org/10.2139/ssrn.4638890</w:t>
      </w:r>
    </w:p>
    <w:p w14:paraId="4E12DEE8" w14:textId="5689779C" w:rsidR="008C0627" w:rsidRPr="002A2B1D" w:rsidRDefault="008C0627" w:rsidP="008C0627">
      <w:pPr>
        <w:pStyle w:val="referenceitem"/>
      </w:pPr>
      <w:proofErr w:type="spellStart"/>
      <w:r w:rsidRPr="002A2B1D">
        <w:t>Pakpahan</w:t>
      </w:r>
      <w:proofErr w:type="spellEnd"/>
      <w:r w:rsidRPr="002A2B1D">
        <w:t xml:space="preserve">, D., </w:t>
      </w:r>
      <w:proofErr w:type="spellStart"/>
      <w:r w:rsidRPr="002A2B1D">
        <w:t>Siallagan</w:t>
      </w:r>
      <w:proofErr w:type="spellEnd"/>
      <w:r w:rsidRPr="002A2B1D">
        <w:t xml:space="preserve">, V., Siregar, S.: Classification of E-Commerce Product Descriptions with The </w:t>
      </w:r>
      <w:proofErr w:type="spellStart"/>
      <w:r w:rsidRPr="002A2B1D">
        <w:t>Tf-Idf</w:t>
      </w:r>
      <w:proofErr w:type="spellEnd"/>
      <w:r w:rsidRPr="002A2B1D">
        <w:t xml:space="preserve"> and </w:t>
      </w:r>
      <w:proofErr w:type="spellStart"/>
      <w:r w:rsidRPr="002A2B1D">
        <w:t>Svm</w:t>
      </w:r>
      <w:proofErr w:type="spellEnd"/>
      <w:r w:rsidRPr="002A2B1D">
        <w:t xml:space="preserve"> Methods. </w:t>
      </w:r>
      <w:proofErr w:type="spellStart"/>
      <w:r w:rsidRPr="002A2B1D">
        <w:t>Sinkron</w:t>
      </w:r>
      <w:proofErr w:type="spellEnd"/>
      <w:r w:rsidRPr="002A2B1D">
        <w:t xml:space="preserve">: </w:t>
      </w:r>
      <w:proofErr w:type="spellStart"/>
      <w:r w:rsidRPr="002A2B1D">
        <w:t>Jurnal</w:t>
      </w:r>
      <w:proofErr w:type="spellEnd"/>
      <w:r w:rsidRPr="002A2B1D">
        <w:t xml:space="preserve"> dan </w:t>
      </w:r>
      <w:proofErr w:type="spellStart"/>
      <w:r w:rsidRPr="002A2B1D">
        <w:t>Penelitian</w:t>
      </w:r>
      <w:proofErr w:type="spellEnd"/>
      <w:r w:rsidRPr="002A2B1D">
        <w:t xml:space="preserve"> Teknik </w:t>
      </w:r>
      <w:proofErr w:type="spellStart"/>
      <w:r w:rsidRPr="002A2B1D">
        <w:t>Informatika</w:t>
      </w:r>
      <w:proofErr w:type="spellEnd"/>
      <w:r w:rsidRPr="002A2B1D">
        <w:t>, 8(4), 2130-2137 (2023). https://doi.org/10.33395/sinkron.v8i4.12779</w:t>
      </w:r>
    </w:p>
    <w:p w14:paraId="44FE4A44" w14:textId="72BE7821" w:rsidR="008C0627" w:rsidRPr="002A2B1D" w:rsidRDefault="008C0627" w:rsidP="008C0627">
      <w:pPr>
        <w:pStyle w:val="referenceitem"/>
      </w:pPr>
      <w:r w:rsidRPr="002A2B1D">
        <w:t xml:space="preserve">Hasson, I., </w:t>
      </w:r>
      <w:proofErr w:type="spellStart"/>
      <w:r w:rsidRPr="002A2B1D">
        <w:t>Novgorodov</w:t>
      </w:r>
      <w:proofErr w:type="spellEnd"/>
      <w:r w:rsidRPr="002A2B1D">
        <w:t xml:space="preserve">, S., Fuchs, G., </w:t>
      </w:r>
      <w:proofErr w:type="spellStart"/>
      <w:r w:rsidRPr="002A2B1D">
        <w:t>Acriche</w:t>
      </w:r>
      <w:proofErr w:type="spellEnd"/>
      <w:r w:rsidRPr="002A2B1D">
        <w:t>, Y.: Category recognition in e-commerce using sequence-to-sequence hierarchical classification. In Proceedings of the 14th ACM International Conference on Web Search and Data Mining, pp. 902-905 (2021). https://doi.org/10.1145/3437963.3441717</w:t>
      </w:r>
    </w:p>
    <w:p w14:paraId="6A73E054" w14:textId="631112CC" w:rsidR="008C0627" w:rsidRPr="002A2B1D" w:rsidRDefault="008C0627" w:rsidP="008C0627">
      <w:pPr>
        <w:pStyle w:val="referenceitem"/>
      </w:pPr>
      <w:r w:rsidRPr="002A2B1D">
        <w:lastRenderedPageBreak/>
        <w:t xml:space="preserve">Lone, S., </w:t>
      </w:r>
      <w:proofErr w:type="spellStart"/>
      <w:r w:rsidRPr="002A2B1D">
        <w:t>Weltevreden</w:t>
      </w:r>
      <w:proofErr w:type="spellEnd"/>
      <w:r w:rsidRPr="002A2B1D">
        <w:t>, J.W.J.: 2023 European E-commerce Report. Amster-dam/Brussels: Amsterdam University of Applied Sciences &amp; Ecommerce Europe (2023). https://www.upu.int/UPU/media/wwwUpuIntUniversalPostalUnionAboutUpuBodiesConsultativeCommittee/2023EuropeanEcommerceReportEn.pdf</w:t>
      </w:r>
    </w:p>
    <w:p w14:paraId="7A71D73F" w14:textId="597E01FA" w:rsidR="008C0627" w:rsidRPr="002A2B1D" w:rsidRDefault="008C0627" w:rsidP="008C0627">
      <w:pPr>
        <w:pStyle w:val="referenceitem"/>
      </w:pPr>
      <w:proofErr w:type="spellStart"/>
      <w:r w:rsidRPr="002A2B1D">
        <w:t>Ertek</w:t>
      </w:r>
      <w:proofErr w:type="spellEnd"/>
      <w:r w:rsidRPr="002A2B1D">
        <w:t xml:space="preserve">, G., </w:t>
      </w:r>
      <w:proofErr w:type="spellStart"/>
      <w:r w:rsidRPr="002A2B1D">
        <w:t>Demiriz</w:t>
      </w:r>
      <w:proofErr w:type="spellEnd"/>
      <w:r w:rsidRPr="002A2B1D">
        <w:t>, A.: A framework for visualizing association mining re-</w:t>
      </w:r>
      <w:proofErr w:type="spellStart"/>
      <w:r w:rsidRPr="002A2B1D">
        <w:t>sults</w:t>
      </w:r>
      <w:proofErr w:type="spellEnd"/>
      <w:r w:rsidRPr="002A2B1D">
        <w:t xml:space="preserve">. In International Symposium on Computer and Information Sciences, pp. 593-602 (2006). Berlin, Heidelberg: Springer Berlin Heidelberg. https://doi.org/10.1007/11902140_63 </w:t>
      </w:r>
    </w:p>
    <w:p w14:paraId="7C5B78D4" w14:textId="521EB620" w:rsidR="008C0627" w:rsidRPr="002A2B1D" w:rsidRDefault="008C0627" w:rsidP="008C0627">
      <w:pPr>
        <w:pStyle w:val="referenceitem"/>
      </w:pPr>
      <w:r w:rsidRPr="002A2B1D">
        <w:t>Lim, T.: K-Means Clustering-Based Market Basket Analysis: UK Online E-Commerce Retailer. In ICIT. pp. 126-131 (2021). https://doi.org/10.1109/icit52682.2021.9491703</w:t>
      </w:r>
    </w:p>
    <w:p w14:paraId="05D78BCE" w14:textId="7F3DCF73" w:rsidR="00F34224" w:rsidRPr="002A2B1D" w:rsidRDefault="008C0627" w:rsidP="008C0627">
      <w:pPr>
        <w:pStyle w:val="referenceitem"/>
      </w:pPr>
      <w:proofErr w:type="spellStart"/>
      <w:r w:rsidRPr="002A2B1D">
        <w:t>Gurudath</w:t>
      </w:r>
      <w:proofErr w:type="spellEnd"/>
      <w:r w:rsidRPr="002A2B1D">
        <w:t xml:space="preserve">, S.: Market Basket Analysis &amp; Recommendation System Using </w:t>
      </w:r>
      <w:proofErr w:type="spellStart"/>
      <w:r w:rsidRPr="002A2B1D">
        <w:t>Associa-tion</w:t>
      </w:r>
      <w:proofErr w:type="spellEnd"/>
      <w:r w:rsidRPr="002A2B1D">
        <w:t xml:space="preserve"> Rules. Master of Science in Big Data Management and Analytics, Griffith College, Dublin (2020).</w:t>
      </w:r>
    </w:p>
    <w:p w14:paraId="700BFCDA" w14:textId="719E5ADF" w:rsidR="00947EB5" w:rsidRPr="002A2B1D" w:rsidRDefault="00947EB5" w:rsidP="00947EB5">
      <w:pPr>
        <w:pStyle w:val="referenceitem"/>
      </w:pPr>
      <w:proofErr w:type="spellStart"/>
      <w:r w:rsidRPr="002A2B1D">
        <w:t>Ertek</w:t>
      </w:r>
      <w:proofErr w:type="spellEnd"/>
      <w:r w:rsidRPr="002A2B1D">
        <w:t xml:space="preserve">, G., </w:t>
      </w:r>
      <w:proofErr w:type="spellStart"/>
      <w:r w:rsidRPr="002A2B1D">
        <w:t>Tokdemir</w:t>
      </w:r>
      <w:proofErr w:type="spellEnd"/>
      <w:r w:rsidRPr="002A2B1D">
        <w:t xml:space="preserve">, G., and Hammoudi, M. M.: Graph-Based </w:t>
      </w:r>
      <w:proofErr w:type="spellStart"/>
      <w:r w:rsidRPr="002A2B1D">
        <w:t>Visuali-zation</w:t>
      </w:r>
      <w:proofErr w:type="spellEnd"/>
      <w:r w:rsidRPr="002A2B1D">
        <w:t xml:space="preserve"> of Stochastic Dominance in Statistical Comparisons. 2019 IEEE/ACS 16th Inter-national Conference on Computer Systems and Applications (AICCSA), Abu Dhabi, United Arab Emirates, 2019, pp. 1-7 (2019). https://doi.org/10.1109/AICCSA47632.2019.9035354</w:t>
      </w:r>
    </w:p>
    <w:p w14:paraId="6A9DDD7C" w14:textId="77777777" w:rsidR="00947EB5" w:rsidRPr="002A2B1D" w:rsidRDefault="00947EB5" w:rsidP="00947EB5">
      <w:pPr>
        <w:pStyle w:val="referenceitem"/>
        <w:numPr>
          <w:ilvl w:val="0"/>
          <w:numId w:val="0"/>
        </w:numPr>
        <w:ind w:left="227"/>
      </w:pPr>
    </w:p>
    <w:sectPr w:rsidR="00947EB5" w:rsidRPr="002A2B1D"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FB29" w14:textId="77777777" w:rsidR="006C37D1" w:rsidRDefault="006C37D1">
      <w:r>
        <w:separator/>
      </w:r>
    </w:p>
  </w:endnote>
  <w:endnote w:type="continuationSeparator" w:id="0">
    <w:p w14:paraId="3C60D359" w14:textId="77777777" w:rsidR="006C37D1" w:rsidRDefault="006C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E9753" w14:textId="77777777" w:rsidR="006C37D1" w:rsidRDefault="006C37D1" w:rsidP="009F7FCE">
      <w:pPr>
        <w:ind w:firstLine="0"/>
      </w:pPr>
      <w:r>
        <w:separator/>
      </w:r>
    </w:p>
  </w:footnote>
  <w:footnote w:type="continuationSeparator" w:id="0">
    <w:p w14:paraId="789B0DA0" w14:textId="77777777" w:rsidR="006C37D1" w:rsidRDefault="006C37D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328B" w14:textId="6478F1A1" w:rsidR="00687797" w:rsidRDefault="00687797" w:rsidP="00F321B4">
    <w:pPr>
      <w:pStyle w:val="Header"/>
    </w:pPr>
    <w:r>
      <w:fldChar w:fldCharType="begin"/>
    </w:r>
    <w:r>
      <w:instrText>PAGE   \* MERGEFORMAT</w:instrText>
    </w:r>
    <w:r>
      <w:fldChar w:fldCharType="separate"/>
    </w:r>
    <w:r w:rsidR="00216C02">
      <w:rPr>
        <w:noProof/>
      </w:rPr>
      <w:t>24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328C" w14:textId="77777777" w:rsidR="00687797" w:rsidRDefault="00687797" w:rsidP="002D48C5">
    <w:pPr>
      <w:pStyle w:val="Header"/>
      <w:jc w:val="right"/>
    </w:pPr>
    <w:r>
      <w:fldChar w:fldCharType="begin"/>
    </w:r>
    <w:r>
      <w:instrText>PAGE   \* MERGEFORMAT</w:instrText>
    </w:r>
    <w:r>
      <w:fldChar w:fldCharType="separate"/>
    </w:r>
    <w:r w:rsidR="00216C02">
      <w:rPr>
        <w:noProof/>
      </w:rPr>
      <w:t>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DB9"/>
    <w:multiLevelType w:val="hybridMultilevel"/>
    <w:tmpl w:val="668EDF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B80C0F"/>
    <w:multiLevelType w:val="hybridMultilevel"/>
    <w:tmpl w:val="5148875A"/>
    <w:lvl w:ilvl="0" w:tplc="61044698">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50B57F98"/>
    <w:multiLevelType w:val="hybridMultilevel"/>
    <w:tmpl w:val="74E6312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4" w15:restartNumberingAfterBreak="0">
    <w:nsid w:val="55771140"/>
    <w:multiLevelType w:val="hybridMultilevel"/>
    <w:tmpl w:val="FC9A4E64"/>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6" w15:restartNumberingAfterBreak="0">
    <w:nsid w:val="730B31A8"/>
    <w:multiLevelType w:val="hybridMultilevel"/>
    <w:tmpl w:val="764242CA"/>
    <w:lvl w:ilvl="0" w:tplc="0409000F">
      <w:start w:val="1"/>
      <w:numFmt w:val="decimal"/>
      <w:lvlText w:val="%1."/>
      <w:lvlJc w:val="left"/>
      <w:pPr>
        <w:ind w:left="587" w:hanging="360"/>
      </w:p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28606362">
    <w:abstractNumId w:val="2"/>
  </w:num>
  <w:num w:numId="2" w16cid:durableId="908344745">
    <w:abstractNumId w:val="2"/>
  </w:num>
  <w:num w:numId="3" w16cid:durableId="1954168004">
    <w:abstractNumId w:val="5"/>
  </w:num>
  <w:num w:numId="4" w16cid:durableId="1086344700">
    <w:abstractNumId w:val="5"/>
  </w:num>
  <w:num w:numId="5" w16cid:durableId="1126777248">
    <w:abstractNumId w:val="8"/>
  </w:num>
  <w:num w:numId="6" w16cid:durableId="178813841">
    <w:abstractNumId w:val="8"/>
  </w:num>
  <w:num w:numId="7" w16cid:durableId="1201359616">
    <w:abstractNumId w:val="7"/>
  </w:num>
  <w:num w:numId="8" w16cid:durableId="1336229966">
    <w:abstractNumId w:val="9"/>
  </w:num>
  <w:num w:numId="9" w16cid:durableId="1036348465">
    <w:abstractNumId w:val="9"/>
  </w:num>
  <w:num w:numId="10" w16cid:durableId="1749838172">
    <w:abstractNumId w:val="1"/>
  </w:num>
  <w:num w:numId="11" w16cid:durableId="15714284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172725">
    <w:abstractNumId w:val="4"/>
  </w:num>
  <w:num w:numId="13" w16cid:durableId="301277090">
    <w:abstractNumId w:val="0"/>
  </w:num>
  <w:num w:numId="14" w16cid:durableId="15364284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1391E"/>
    <w:rsid w:val="000142E0"/>
    <w:rsid w:val="0004591D"/>
    <w:rsid w:val="0005421C"/>
    <w:rsid w:val="00054A00"/>
    <w:rsid w:val="00061675"/>
    <w:rsid w:val="00097025"/>
    <w:rsid w:val="000A7904"/>
    <w:rsid w:val="000B2113"/>
    <w:rsid w:val="000B35EE"/>
    <w:rsid w:val="000B6964"/>
    <w:rsid w:val="000C2D18"/>
    <w:rsid w:val="000D2E52"/>
    <w:rsid w:val="000D42F9"/>
    <w:rsid w:val="000D75A7"/>
    <w:rsid w:val="000E4A4E"/>
    <w:rsid w:val="000F3A38"/>
    <w:rsid w:val="000F6A9B"/>
    <w:rsid w:val="00105A2F"/>
    <w:rsid w:val="00106307"/>
    <w:rsid w:val="00126900"/>
    <w:rsid w:val="00135288"/>
    <w:rsid w:val="00140C9B"/>
    <w:rsid w:val="001427ED"/>
    <w:rsid w:val="00146783"/>
    <w:rsid w:val="00147F74"/>
    <w:rsid w:val="00151151"/>
    <w:rsid w:val="00151250"/>
    <w:rsid w:val="00157A0D"/>
    <w:rsid w:val="0016048F"/>
    <w:rsid w:val="00161B4A"/>
    <w:rsid w:val="00165EA6"/>
    <w:rsid w:val="0019063A"/>
    <w:rsid w:val="001A02F0"/>
    <w:rsid w:val="001A5623"/>
    <w:rsid w:val="001B1D87"/>
    <w:rsid w:val="001C3544"/>
    <w:rsid w:val="001C4255"/>
    <w:rsid w:val="001D78B9"/>
    <w:rsid w:val="002035B4"/>
    <w:rsid w:val="002060BD"/>
    <w:rsid w:val="00216C02"/>
    <w:rsid w:val="00231739"/>
    <w:rsid w:val="002359FE"/>
    <w:rsid w:val="0024223A"/>
    <w:rsid w:val="0025799C"/>
    <w:rsid w:val="00270326"/>
    <w:rsid w:val="0027312B"/>
    <w:rsid w:val="00274812"/>
    <w:rsid w:val="00283AA3"/>
    <w:rsid w:val="00294402"/>
    <w:rsid w:val="0029703D"/>
    <w:rsid w:val="002A2B1D"/>
    <w:rsid w:val="002A5B44"/>
    <w:rsid w:val="002D48C5"/>
    <w:rsid w:val="002E4042"/>
    <w:rsid w:val="002E6FB6"/>
    <w:rsid w:val="002F0D89"/>
    <w:rsid w:val="002F155A"/>
    <w:rsid w:val="002F443D"/>
    <w:rsid w:val="00311D60"/>
    <w:rsid w:val="00325182"/>
    <w:rsid w:val="00326289"/>
    <w:rsid w:val="00326DC2"/>
    <w:rsid w:val="003316A3"/>
    <w:rsid w:val="003319F7"/>
    <w:rsid w:val="00337BAF"/>
    <w:rsid w:val="00346320"/>
    <w:rsid w:val="00346FF0"/>
    <w:rsid w:val="0036422A"/>
    <w:rsid w:val="003669E5"/>
    <w:rsid w:val="00381A0A"/>
    <w:rsid w:val="00385CFB"/>
    <w:rsid w:val="00390719"/>
    <w:rsid w:val="003A3F6F"/>
    <w:rsid w:val="003A792F"/>
    <w:rsid w:val="003B0738"/>
    <w:rsid w:val="003B11A2"/>
    <w:rsid w:val="003B2B5F"/>
    <w:rsid w:val="003C153B"/>
    <w:rsid w:val="003D046F"/>
    <w:rsid w:val="003D2E70"/>
    <w:rsid w:val="003E4B54"/>
    <w:rsid w:val="003F201D"/>
    <w:rsid w:val="003F3BDE"/>
    <w:rsid w:val="003F5266"/>
    <w:rsid w:val="00401760"/>
    <w:rsid w:val="00404961"/>
    <w:rsid w:val="004061B1"/>
    <w:rsid w:val="00412A60"/>
    <w:rsid w:val="00424C2F"/>
    <w:rsid w:val="00426B19"/>
    <w:rsid w:val="00427A5E"/>
    <w:rsid w:val="00432F71"/>
    <w:rsid w:val="004446F2"/>
    <w:rsid w:val="00452458"/>
    <w:rsid w:val="00452D9E"/>
    <w:rsid w:val="00475C86"/>
    <w:rsid w:val="00484C76"/>
    <w:rsid w:val="00490DE8"/>
    <w:rsid w:val="004B40D4"/>
    <w:rsid w:val="004B5A24"/>
    <w:rsid w:val="004C0513"/>
    <w:rsid w:val="004C137B"/>
    <w:rsid w:val="004C4844"/>
    <w:rsid w:val="004E13BA"/>
    <w:rsid w:val="004E3BFF"/>
    <w:rsid w:val="004F1204"/>
    <w:rsid w:val="005036DB"/>
    <w:rsid w:val="00510ADD"/>
    <w:rsid w:val="005147FF"/>
    <w:rsid w:val="00514B49"/>
    <w:rsid w:val="005153B6"/>
    <w:rsid w:val="005169E2"/>
    <w:rsid w:val="005247DF"/>
    <w:rsid w:val="005352D9"/>
    <w:rsid w:val="00550F0D"/>
    <w:rsid w:val="00582AA3"/>
    <w:rsid w:val="005A163D"/>
    <w:rsid w:val="005A2B14"/>
    <w:rsid w:val="005C30CE"/>
    <w:rsid w:val="005D0235"/>
    <w:rsid w:val="005D08B2"/>
    <w:rsid w:val="005D7369"/>
    <w:rsid w:val="005F4827"/>
    <w:rsid w:val="00601FA7"/>
    <w:rsid w:val="00602D52"/>
    <w:rsid w:val="00613B33"/>
    <w:rsid w:val="00616A30"/>
    <w:rsid w:val="00623E1F"/>
    <w:rsid w:val="00632A0D"/>
    <w:rsid w:val="00642FDE"/>
    <w:rsid w:val="006443F5"/>
    <w:rsid w:val="00654B8D"/>
    <w:rsid w:val="00687797"/>
    <w:rsid w:val="006964C0"/>
    <w:rsid w:val="006A3082"/>
    <w:rsid w:val="006A7B9A"/>
    <w:rsid w:val="006B1800"/>
    <w:rsid w:val="006B3865"/>
    <w:rsid w:val="006C00A6"/>
    <w:rsid w:val="006C37D1"/>
    <w:rsid w:val="006C3E6F"/>
    <w:rsid w:val="006C68E0"/>
    <w:rsid w:val="006D213A"/>
    <w:rsid w:val="006D428D"/>
    <w:rsid w:val="006E4D24"/>
    <w:rsid w:val="0071495F"/>
    <w:rsid w:val="007225AF"/>
    <w:rsid w:val="00737A22"/>
    <w:rsid w:val="00743270"/>
    <w:rsid w:val="00747D8C"/>
    <w:rsid w:val="00750E45"/>
    <w:rsid w:val="00751FA4"/>
    <w:rsid w:val="00752584"/>
    <w:rsid w:val="0075542B"/>
    <w:rsid w:val="00764A28"/>
    <w:rsid w:val="00772B6A"/>
    <w:rsid w:val="00787E88"/>
    <w:rsid w:val="0079058E"/>
    <w:rsid w:val="007B5F6D"/>
    <w:rsid w:val="007C1C3D"/>
    <w:rsid w:val="007D59C9"/>
    <w:rsid w:val="007E0B7D"/>
    <w:rsid w:val="007E5DA0"/>
    <w:rsid w:val="007E78EB"/>
    <w:rsid w:val="007F04DE"/>
    <w:rsid w:val="00802211"/>
    <w:rsid w:val="00803C34"/>
    <w:rsid w:val="00840021"/>
    <w:rsid w:val="00862AB6"/>
    <w:rsid w:val="00876F27"/>
    <w:rsid w:val="00877D00"/>
    <w:rsid w:val="008B0969"/>
    <w:rsid w:val="008B15A6"/>
    <w:rsid w:val="008C0627"/>
    <w:rsid w:val="008D0ABE"/>
    <w:rsid w:val="008D6801"/>
    <w:rsid w:val="008E0F1A"/>
    <w:rsid w:val="008E5494"/>
    <w:rsid w:val="008F24BA"/>
    <w:rsid w:val="008F2D4C"/>
    <w:rsid w:val="009265AA"/>
    <w:rsid w:val="00947EB5"/>
    <w:rsid w:val="0095260A"/>
    <w:rsid w:val="0095319F"/>
    <w:rsid w:val="00966738"/>
    <w:rsid w:val="009930E4"/>
    <w:rsid w:val="009B04DC"/>
    <w:rsid w:val="009B1382"/>
    <w:rsid w:val="009B2539"/>
    <w:rsid w:val="009C1D74"/>
    <w:rsid w:val="009D56CF"/>
    <w:rsid w:val="009D7E18"/>
    <w:rsid w:val="009E1891"/>
    <w:rsid w:val="009F18D3"/>
    <w:rsid w:val="009F7FCE"/>
    <w:rsid w:val="00A24188"/>
    <w:rsid w:val="00A316C5"/>
    <w:rsid w:val="00A332CE"/>
    <w:rsid w:val="00A37573"/>
    <w:rsid w:val="00A57B73"/>
    <w:rsid w:val="00A60EF2"/>
    <w:rsid w:val="00A830AD"/>
    <w:rsid w:val="00A83CA7"/>
    <w:rsid w:val="00AA5190"/>
    <w:rsid w:val="00AA7D84"/>
    <w:rsid w:val="00AB276B"/>
    <w:rsid w:val="00AC6C68"/>
    <w:rsid w:val="00AD4223"/>
    <w:rsid w:val="00AD44E8"/>
    <w:rsid w:val="00AE75E9"/>
    <w:rsid w:val="00B213BE"/>
    <w:rsid w:val="00B23481"/>
    <w:rsid w:val="00B361A1"/>
    <w:rsid w:val="00B51F8E"/>
    <w:rsid w:val="00B60D21"/>
    <w:rsid w:val="00B63948"/>
    <w:rsid w:val="00B77CD2"/>
    <w:rsid w:val="00B90F54"/>
    <w:rsid w:val="00B94A2E"/>
    <w:rsid w:val="00BA3667"/>
    <w:rsid w:val="00BA4C17"/>
    <w:rsid w:val="00BA5145"/>
    <w:rsid w:val="00BB7C05"/>
    <w:rsid w:val="00BC511A"/>
    <w:rsid w:val="00BC602F"/>
    <w:rsid w:val="00BD0102"/>
    <w:rsid w:val="00C02E9A"/>
    <w:rsid w:val="00C13601"/>
    <w:rsid w:val="00C16E08"/>
    <w:rsid w:val="00C235A0"/>
    <w:rsid w:val="00C36CD4"/>
    <w:rsid w:val="00C37424"/>
    <w:rsid w:val="00C4702E"/>
    <w:rsid w:val="00C55085"/>
    <w:rsid w:val="00C63277"/>
    <w:rsid w:val="00C63C80"/>
    <w:rsid w:val="00C73A34"/>
    <w:rsid w:val="00C74C82"/>
    <w:rsid w:val="00C80DEC"/>
    <w:rsid w:val="00C82D9D"/>
    <w:rsid w:val="00C91522"/>
    <w:rsid w:val="00CA0478"/>
    <w:rsid w:val="00CA2EB5"/>
    <w:rsid w:val="00CA3562"/>
    <w:rsid w:val="00CA5A7E"/>
    <w:rsid w:val="00CB0CB2"/>
    <w:rsid w:val="00CB3D5D"/>
    <w:rsid w:val="00CE3E1D"/>
    <w:rsid w:val="00CF2DD6"/>
    <w:rsid w:val="00D121BD"/>
    <w:rsid w:val="00D25F2A"/>
    <w:rsid w:val="00D817EC"/>
    <w:rsid w:val="00D82659"/>
    <w:rsid w:val="00D876EB"/>
    <w:rsid w:val="00DA380A"/>
    <w:rsid w:val="00DA6A08"/>
    <w:rsid w:val="00DB4FAB"/>
    <w:rsid w:val="00DB646F"/>
    <w:rsid w:val="00DC2CA9"/>
    <w:rsid w:val="00DC37AB"/>
    <w:rsid w:val="00DC40D3"/>
    <w:rsid w:val="00DE2692"/>
    <w:rsid w:val="00DE47CA"/>
    <w:rsid w:val="00DF5523"/>
    <w:rsid w:val="00DF5531"/>
    <w:rsid w:val="00E052F3"/>
    <w:rsid w:val="00E1091E"/>
    <w:rsid w:val="00E326E0"/>
    <w:rsid w:val="00E359FE"/>
    <w:rsid w:val="00E410D9"/>
    <w:rsid w:val="00E46221"/>
    <w:rsid w:val="00E5348E"/>
    <w:rsid w:val="00E5671C"/>
    <w:rsid w:val="00E5777B"/>
    <w:rsid w:val="00E57909"/>
    <w:rsid w:val="00E6013E"/>
    <w:rsid w:val="00E603C7"/>
    <w:rsid w:val="00E66F6C"/>
    <w:rsid w:val="00E75C2B"/>
    <w:rsid w:val="00E801C8"/>
    <w:rsid w:val="00E8358C"/>
    <w:rsid w:val="00EA57F2"/>
    <w:rsid w:val="00EB4AFE"/>
    <w:rsid w:val="00EB5E62"/>
    <w:rsid w:val="00EC3F93"/>
    <w:rsid w:val="00ED305F"/>
    <w:rsid w:val="00ED7340"/>
    <w:rsid w:val="00EE4ACB"/>
    <w:rsid w:val="00EE7587"/>
    <w:rsid w:val="00EF33C4"/>
    <w:rsid w:val="00EF5537"/>
    <w:rsid w:val="00F14E20"/>
    <w:rsid w:val="00F206BD"/>
    <w:rsid w:val="00F2443A"/>
    <w:rsid w:val="00F321B4"/>
    <w:rsid w:val="00F34224"/>
    <w:rsid w:val="00F37F92"/>
    <w:rsid w:val="00F41F8D"/>
    <w:rsid w:val="00F56067"/>
    <w:rsid w:val="00F5756C"/>
    <w:rsid w:val="00F72F3B"/>
    <w:rsid w:val="00F75179"/>
    <w:rsid w:val="00F75F7C"/>
    <w:rsid w:val="00F838CF"/>
    <w:rsid w:val="00F87B04"/>
    <w:rsid w:val="00F92275"/>
    <w:rsid w:val="00F9483A"/>
    <w:rsid w:val="00FA2185"/>
    <w:rsid w:val="00FD1105"/>
    <w:rsid w:val="00FE2378"/>
    <w:rsid w:val="00FE3D3D"/>
    <w:rsid w:val="00FF36C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73254"/>
  <w15:docId w15:val="{5F27C415-1D2E-4D1A-8333-A7DABB7C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Caption">
    <w:name w:val="caption"/>
    <w:basedOn w:val="Normal"/>
    <w:next w:val="Normal"/>
    <w:unhideWhenUsed/>
    <w:rsid w:val="00CE3E1D"/>
    <w:pPr>
      <w:spacing w:after="200" w:line="240" w:lineRule="auto"/>
    </w:pPr>
    <w:rPr>
      <w:i/>
      <w:iCs/>
      <w:color w:val="1F497D" w:themeColor="text2"/>
      <w:sz w:val="18"/>
      <w:szCs w:val="18"/>
    </w:rPr>
  </w:style>
  <w:style w:type="paragraph" w:styleId="ListParagraph">
    <w:name w:val="List Paragraph"/>
    <w:basedOn w:val="Normal"/>
    <w:rsid w:val="0001391E"/>
    <w:pPr>
      <w:ind w:left="720"/>
      <w:contextualSpacing/>
    </w:pPr>
  </w:style>
  <w:style w:type="table" w:styleId="TableGrid">
    <w:name w:val="Table Grid"/>
    <w:basedOn w:val="TableNormal"/>
    <w:rsid w:val="00484C76"/>
    <w:pPr>
      <w:spacing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B2B5F"/>
    <w:rPr>
      <w:color w:val="605E5C"/>
      <w:shd w:val="clear" w:color="auto" w:fill="E1DFDD"/>
    </w:rPr>
  </w:style>
  <w:style w:type="paragraph" w:customStyle="1" w:styleId="references">
    <w:name w:val="references"/>
    <w:rsid w:val="003B2B5F"/>
    <w:pPr>
      <w:spacing w:after="50" w:line="180" w:lineRule="exact"/>
      <w:jc w:val="both"/>
    </w:pPr>
    <w:rPr>
      <w:rFonts w:eastAsia="MS Mincho"/>
      <w:noProof/>
      <w:sz w:val="16"/>
      <w:szCs w:val="16"/>
    </w:rPr>
  </w:style>
  <w:style w:type="paragraph" w:customStyle="1" w:styleId="Captions">
    <w:name w:val="Captions"/>
    <w:basedOn w:val="figurecaption"/>
    <w:link w:val="CaptionsChar"/>
    <w:qFormat/>
    <w:rsid w:val="006C68E0"/>
    <w:pPr>
      <w:jc w:val="both"/>
    </w:pPr>
    <w:rPr>
      <w:bCs/>
    </w:rPr>
  </w:style>
  <w:style w:type="character" w:customStyle="1" w:styleId="CaptionsChar">
    <w:name w:val="Captions Char"/>
    <w:basedOn w:val="DefaultParagraphFont"/>
    <w:link w:val="Captions"/>
    <w:rsid w:val="006C68E0"/>
    <w:rPr>
      <w:bCs/>
      <w:sz w:val="18"/>
    </w:rPr>
  </w:style>
  <w:style w:type="paragraph" w:styleId="NormalWeb">
    <w:name w:val="Normal (Web)"/>
    <w:basedOn w:val="Normal"/>
    <w:uiPriority w:val="99"/>
    <w:semiHidden/>
    <w:unhideWhenUsed/>
    <w:rsid w:val="006C00A6"/>
    <w:pPr>
      <w:overflowPunct/>
      <w:autoSpaceDE/>
      <w:autoSpaceDN/>
      <w:adjustRightInd/>
      <w:spacing w:before="100" w:beforeAutospacing="1" w:after="100" w:afterAutospacing="1" w:line="240" w:lineRule="auto"/>
      <w:ind w:firstLine="0"/>
      <w:jc w:val="left"/>
      <w:textAlignment w:val="auto"/>
    </w:pPr>
    <w:rPr>
      <w:sz w:val="24"/>
      <w:szCs w:val="24"/>
    </w:rPr>
  </w:style>
  <w:style w:type="paragraph" w:styleId="Revision">
    <w:name w:val="Revision"/>
    <w:hidden/>
    <w:semiHidden/>
    <w:rsid w:val="00DE47CA"/>
    <w:pPr>
      <w:spacing w:line="240" w:lineRule="auto"/>
    </w:pPr>
  </w:style>
  <w:style w:type="paragraph" w:styleId="BalloonText">
    <w:name w:val="Balloon Text"/>
    <w:basedOn w:val="Normal"/>
    <w:link w:val="BalloonTextChar"/>
    <w:semiHidden/>
    <w:unhideWhenUsed/>
    <w:rsid w:val="00C82D9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82D9D"/>
    <w:rPr>
      <w:rFonts w:ascii="Tahoma" w:hAnsi="Tahoma" w:cs="Tahoma"/>
      <w:sz w:val="16"/>
      <w:szCs w:val="16"/>
    </w:rPr>
  </w:style>
  <w:style w:type="character" w:styleId="UnresolvedMention">
    <w:name w:val="Unresolved Mention"/>
    <w:basedOn w:val="DefaultParagraphFont"/>
    <w:uiPriority w:val="99"/>
    <w:semiHidden/>
    <w:unhideWhenUsed/>
    <w:rsid w:val="00CA2EB5"/>
    <w:rPr>
      <w:color w:val="605E5C"/>
      <w:shd w:val="clear" w:color="auto" w:fill="E1DFDD"/>
    </w:rPr>
  </w:style>
  <w:style w:type="paragraph" w:customStyle="1" w:styleId="preflight-heading">
    <w:name w:val="preflight-heading"/>
    <w:rsid w:val="00747D8C"/>
    <w:pPr>
      <w:spacing w:before="60" w:after="60"/>
    </w:pPr>
    <w:rPr>
      <w:b/>
      <w:color w:val="000000"/>
    </w:rPr>
  </w:style>
  <w:style w:type="paragraph" w:customStyle="1" w:styleId="preflight-description">
    <w:name w:val="preflight-description"/>
    <w:rsid w:val="00747D8C"/>
    <w:pPr>
      <w:spacing w:before="60" w:after="60"/>
    </w:pPr>
    <w:rPr>
      <w:color w:val="000000"/>
    </w:rPr>
  </w:style>
  <w:style w:type="paragraph" w:customStyle="1" w:styleId="preflight-link">
    <w:name w:val="preflight-link"/>
    <w:rsid w:val="00747D8C"/>
    <w:pPr>
      <w:spacing w:before="60" w:after="60"/>
    </w:pPr>
    <w:rPr>
      <w:color w:val="0000FF"/>
      <w:u w:val="single"/>
    </w:rPr>
  </w:style>
  <w:style w:type="paragraph" w:customStyle="1" w:styleId="preflight-example">
    <w:name w:val="preflight-example"/>
    <w:rsid w:val="00747D8C"/>
    <w:pPr>
      <w:spacing w:before="180" w:after="60"/>
    </w:pPr>
    <w:rPr>
      <w:i/>
      <w:color w:val="000000"/>
    </w:rPr>
  </w:style>
  <w:style w:type="character" w:styleId="CommentReference">
    <w:name w:val="annotation reference"/>
    <w:basedOn w:val="DefaultParagraphFont"/>
    <w:rsid w:val="00747D8C"/>
    <w:rPr>
      <w:sz w:val="16"/>
      <w:szCs w:val="16"/>
    </w:rPr>
  </w:style>
  <w:style w:type="paragraph" w:styleId="CommentText">
    <w:name w:val="annotation text"/>
    <w:basedOn w:val="Normal"/>
    <w:link w:val="CommentTextChar"/>
    <w:rsid w:val="00747D8C"/>
  </w:style>
  <w:style w:type="character" w:customStyle="1" w:styleId="CommentTextChar">
    <w:name w:val="Comment Text Char"/>
    <w:basedOn w:val="DefaultParagraphFont"/>
    <w:link w:val="CommentText"/>
    <w:rsid w:val="00747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8277">
      <w:bodyDiv w:val="1"/>
      <w:marLeft w:val="0"/>
      <w:marRight w:val="0"/>
      <w:marTop w:val="0"/>
      <w:marBottom w:val="0"/>
      <w:divBdr>
        <w:top w:val="none" w:sz="0" w:space="0" w:color="auto"/>
        <w:left w:val="none" w:sz="0" w:space="0" w:color="auto"/>
        <w:bottom w:val="none" w:sz="0" w:space="0" w:color="auto"/>
        <w:right w:val="none" w:sz="0" w:space="0" w:color="auto"/>
      </w:divBdr>
    </w:div>
    <w:div w:id="737021040">
      <w:bodyDiv w:val="1"/>
      <w:marLeft w:val="0"/>
      <w:marRight w:val="0"/>
      <w:marTop w:val="0"/>
      <w:marBottom w:val="0"/>
      <w:divBdr>
        <w:top w:val="none" w:sz="0" w:space="0" w:color="auto"/>
        <w:left w:val="none" w:sz="0" w:space="0" w:color="auto"/>
        <w:bottom w:val="none" w:sz="0" w:space="0" w:color="auto"/>
        <w:right w:val="none" w:sz="0" w:space="0" w:color="auto"/>
      </w:divBdr>
    </w:div>
    <w:div w:id="795681221">
      <w:bodyDiv w:val="1"/>
      <w:marLeft w:val="0"/>
      <w:marRight w:val="0"/>
      <w:marTop w:val="0"/>
      <w:marBottom w:val="0"/>
      <w:divBdr>
        <w:top w:val="none" w:sz="0" w:space="0" w:color="auto"/>
        <w:left w:val="none" w:sz="0" w:space="0" w:color="auto"/>
        <w:bottom w:val="none" w:sz="0" w:space="0" w:color="auto"/>
        <w:right w:val="none" w:sz="0" w:space="0" w:color="auto"/>
      </w:divBdr>
    </w:div>
    <w:div w:id="799222351">
      <w:bodyDiv w:val="1"/>
      <w:marLeft w:val="0"/>
      <w:marRight w:val="0"/>
      <w:marTop w:val="0"/>
      <w:marBottom w:val="0"/>
      <w:divBdr>
        <w:top w:val="none" w:sz="0" w:space="0" w:color="auto"/>
        <w:left w:val="none" w:sz="0" w:space="0" w:color="auto"/>
        <w:bottom w:val="none" w:sz="0" w:space="0" w:color="auto"/>
        <w:right w:val="none" w:sz="0" w:space="0" w:color="auto"/>
      </w:divBdr>
      <w:divsChild>
        <w:div w:id="2026978433">
          <w:marLeft w:val="0"/>
          <w:marRight w:val="0"/>
          <w:marTop w:val="0"/>
          <w:marBottom w:val="0"/>
          <w:divBdr>
            <w:top w:val="none" w:sz="0" w:space="0" w:color="auto"/>
            <w:left w:val="none" w:sz="0" w:space="0" w:color="auto"/>
            <w:bottom w:val="none" w:sz="0" w:space="0" w:color="auto"/>
            <w:right w:val="none" w:sz="0" w:space="0" w:color="auto"/>
          </w:divBdr>
        </w:div>
      </w:divsChild>
    </w:div>
    <w:div w:id="1324627276">
      <w:bodyDiv w:val="1"/>
      <w:marLeft w:val="0"/>
      <w:marRight w:val="0"/>
      <w:marTop w:val="0"/>
      <w:marBottom w:val="0"/>
      <w:divBdr>
        <w:top w:val="none" w:sz="0" w:space="0" w:color="auto"/>
        <w:left w:val="none" w:sz="0" w:space="0" w:color="auto"/>
        <w:bottom w:val="none" w:sz="0" w:space="0" w:color="auto"/>
        <w:right w:val="none" w:sz="0" w:space="0" w:color="auto"/>
      </w:divBdr>
    </w:div>
    <w:div w:id="1329554599">
      <w:bodyDiv w:val="1"/>
      <w:marLeft w:val="0"/>
      <w:marRight w:val="0"/>
      <w:marTop w:val="0"/>
      <w:marBottom w:val="0"/>
      <w:divBdr>
        <w:top w:val="none" w:sz="0" w:space="0" w:color="auto"/>
        <w:left w:val="none" w:sz="0" w:space="0" w:color="auto"/>
        <w:bottom w:val="none" w:sz="0" w:space="0" w:color="auto"/>
        <w:right w:val="none" w:sz="0" w:space="0" w:color="auto"/>
      </w:divBdr>
    </w:div>
    <w:div w:id="1770007597">
      <w:bodyDiv w:val="1"/>
      <w:marLeft w:val="0"/>
      <w:marRight w:val="0"/>
      <w:marTop w:val="0"/>
      <w:marBottom w:val="0"/>
      <w:divBdr>
        <w:top w:val="none" w:sz="0" w:space="0" w:color="auto"/>
        <w:left w:val="none" w:sz="0" w:space="0" w:color="auto"/>
        <w:bottom w:val="none" w:sz="0" w:space="0" w:color="auto"/>
        <w:right w:val="none" w:sz="0" w:space="0" w:color="auto"/>
      </w:divBdr>
      <w:divsChild>
        <w:div w:id="185140534">
          <w:marLeft w:val="0"/>
          <w:marRight w:val="0"/>
          <w:marTop w:val="0"/>
          <w:marBottom w:val="0"/>
          <w:divBdr>
            <w:top w:val="none" w:sz="0" w:space="0" w:color="auto"/>
            <w:left w:val="none" w:sz="0" w:space="0" w:color="auto"/>
            <w:bottom w:val="none" w:sz="0" w:space="0" w:color="auto"/>
            <w:right w:val="none" w:sz="0" w:space="0" w:color="auto"/>
          </w:divBdr>
        </w:div>
      </w:divsChild>
    </w:div>
    <w:div w:id="2113668221">
      <w:bodyDiv w:val="1"/>
      <w:marLeft w:val="0"/>
      <w:marRight w:val="0"/>
      <w:marTop w:val="0"/>
      <w:marBottom w:val="0"/>
      <w:divBdr>
        <w:top w:val="none" w:sz="0" w:space="0" w:color="auto"/>
        <w:left w:val="none" w:sz="0" w:space="0" w:color="auto"/>
        <w:bottom w:val="none" w:sz="0" w:space="0" w:color="auto"/>
        <w:right w:val="none" w:sz="0" w:space="0" w:color="auto"/>
      </w:divBdr>
      <w:divsChild>
        <w:div w:id="880825453">
          <w:marLeft w:val="0"/>
          <w:marRight w:val="0"/>
          <w:marTop w:val="0"/>
          <w:marBottom w:val="0"/>
          <w:divBdr>
            <w:top w:val="none" w:sz="0" w:space="0" w:color="auto"/>
            <w:left w:val="none" w:sz="0" w:space="0" w:color="auto"/>
            <w:bottom w:val="none" w:sz="0" w:space="0" w:color="auto"/>
            <w:right w:val="none" w:sz="0" w:space="0" w:color="auto"/>
          </w:divBdr>
        </w:div>
      </w:divsChild>
    </w:div>
    <w:div w:id="2116360809">
      <w:bodyDiv w:val="1"/>
      <w:marLeft w:val="0"/>
      <w:marRight w:val="0"/>
      <w:marTop w:val="0"/>
      <w:marBottom w:val="0"/>
      <w:divBdr>
        <w:top w:val="none" w:sz="0" w:space="0" w:color="auto"/>
        <w:left w:val="none" w:sz="0" w:space="0" w:color="auto"/>
        <w:bottom w:val="none" w:sz="0" w:space="0" w:color="auto"/>
        <w:right w:val="none" w:sz="0" w:space="0" w:color="auto"/>
      </w:divBdr>
    </w:div>
    <w:div w:id="2131509613">
      <w:bodyDiv w:val="1"/>
      <w:marLeft w:val="0"/>
      <w:marRight w:val="0"/>
      <w:marTop w:val="0"/>
      <w:marBottom w:val="0"/>
      <w:divBdr>
        <w:top w:val="none" w:sz="0" w:space="0" w:color="auto"/>
        <w:left w:val="none" w:sz="0" w:space="0" w:color="auto"/>
        <w:bottom w:val="none" w:sz="0" w:space="0" w:color="auto"/>
        <w:right w:val="none" w:sz="0" w:space="0" w:color="auto"/>
      </w:divBdr>
    </w:div>
    <w:div w:id="2143106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0042159@uaeu.ac.a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rdal@uaeu.ac.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1207945@uaeu.ac.ae" TargetMode="External"/><Relationship Id="rId4" Type="http://schemas.openxmlformats.org/officeDocument/2006/relationships/settings" Target="settings.xml"/><Relationship Id="rId9" Type="http://schemas.openxmlformats.org/officeDocument/2006/relationships/hyperlink" Target="mailto:201801296@uaeu.ac.ae" TargetMode="External"/><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C6C26-72B7-4ED3-8608-EF1D2625D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3811</Words>
  <Characters>21727</Characters>
  <Application>Microsoft Office Word</Application>
  <DocSecurity>0</DocSecurity>
  <Lines>181</Lines>
  <Paragraphs>50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dataspect IT-Services, Neckargemuend, Germany</Company>
  <LinksUpToDate>false</LinksUpToDate>
  <CharactersWithSpaces>25488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Gurdal Ertek</cp:lastModifiedBy>
  <cp:revision>15</cp:revision>
  <cp:lastPrinted>2024-01-07T19:27:00Z</cp:lastPrinted>
  <dcterms:created xsi:type="dcterms:W3CDTF">2023-12-25T21:15:00Z</dcterms:created>
  <dcterms:modified xsi:type="dcterms:W3CDTF">2024-01-12T17:00:00Z</dcterms:modified>
</cp:coreProperties>
</file>