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IDIP — Natural Disaster Intelligence &amp; Management</w:t>
      </w:r>
    </w:p>
    <w:p>
      <w:pPr>
        <w:jc w:val="center"/>
      </w:pPr>
      <w:r>
        <w:rPr>
          <w:b/>
          <w:sz w:val="48"/>
        </w:rPr>
        <w:t>Exploratory Data Analysis (EDA) Documentary</w:t>
      </w:r>
    </w:p>
    <w:p>
      <w:pPr>
        <w:jc w:val="center"/>
      </w:pPr>
      <w:r>
        <w:rPr>
          <w:i/>
        </w:rPr>
        <w:t>From validated disaster data to analytical understanding</w:t>
      </w:r>
    </w:p>
    <w:p/>
    <w:p>
      <w:pPr>
        <w:jc w:val="center"/>
      </w:pPr>
      <w:r>
        <w:rPr>
          <w:b/>
        </w:rPr>
        <w:t>Earthquake • Flood • Cyclone</w:t>
      </w:r>
    </w:p>
    <w:p>
      <w:r>
        <w:br w:type="page"/>
      </w:r>
    </w:p>
    <w:p>
      <w:pPr>
        <w:pStyle w:val="Heading1"/>
      </w:pPr>
      <w:r>
        <w:t>1. EDA Objective</w:t>
      </w:r>
    </w:p>
    <w:p>
      <w:r>
        <w:t>The purpose of EDA in IDIP is to understand what the cleaned disaster datasets actually contain before any downstream prediction, scoring, or accuracy assessment is attempted. EDA is therefore treated as an analytical validation layer between data preparation and the next product phase.</w:t>
      </w:r>
    </w:p>
    <w:p>
      <w:r>
        <w:t>The objective is not simply to generate charts. It is to determine the temporal, spatial, physical, relational, and comparative patterns in the records; identify limitations that could affect interpretation; and establish whether the datasets are sufficiently reliable for further analytical development.</w:t>
      </w:r>
    </w:p>
    <w:p>
      <w:pPr>
        <w:pStyle w:val="Heading1"/>
      </w:pPr>
      <w:r>
        <w:t>2. Dataset Overview</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Dataset</w:t>
            </w:r>
          </w:p>
        </w:tc>
        <w:tc>
          <w:tcPr>
            <w:tcW w:type="dxa" w:w="1987"/>
          </w:tcPr>
          <w:p>
            <w:r>
              <w:t>Records</w:t>
            </w:r>
          </w:p>
        </w:tc>
        <w:tc>
          <w:tcPr>
            <w:tcW w:type="dxa" w:w="1987"/>
          </w:tcPr>
          <w:p>
            <w:r>
              <w:t>Years</w:t>
            </w:r>
          </w:p>
        </w:tc>
        <w:tc>
          <w:tcPr>
            <w:tcW w:type="dxa" w:w="1987"/>
          </w:tcPr>
          <w:p>
            <w:r>
              <w:t>State coverage</w:t>
            </w:r>
          </w:p>
        </w:tc>
        <w:tc>
          <w:tcPr>
            <w:tcW w:type="dxa" w:w="1987"/>
          </w:tcPr>
          <w:p>
            <w:r>
              <w:t>Coordinate coverage</w:t>
            </w:r>
          </w:p>
        </w:tc>
      </w:tr>
      <w:tr>
        <w:tc>
          <w:tcPr>
            <w:tcW w:type="dxa" w:w="1987"/>
          </w:tcPr>
          <w:p>
            <w:r>
              <w:t>Earthquake</w:t>
            </w:r>
          </w:p>
        </w:tc>
        <w:tc>
          <w:tcPr>
            <w:tcW w:type="dxa" w:w="1987"/>
          </w:tcPr>
          <w:p>
            <w:r>
              <w:t>7,690</w:t>
            </w:r>
          </w:p>
        </w:tc>
        <w:tc>
          <w:tcPr>
            <w:tcW w:type="dxa" w:w="1987"/>
          </w:tcPr>
          <w:p>
            <w:r>
              <w:t>2000–2026</w:t>
            </w:r>
          </w:p>
        </w:tc>
        <w:tc>
          <w:tcPr>
            <w:tcW w:type="dxa" w:w="1987"/>
          </w:tcPr>
          <w:p>
            <w:r>
              <w:t>69.15%</w:t>
            </w:r>
          </w:p>
        </w:tc>
        <w:tc>
          <w:tcPr>
            <w:tcW w:type="dxa" w:w="1987"/>
          </w:tcPr>
          <w:p>
            <w:r>
              <w:t>100.00%</w:t>
            </w:r>
          </w:p>
        </w:tc>
      </w:tr>
      <w:tr>
        <w:tc>
          <w:tcPr>
            <w:tcW w:type="dxa" w:w="1987"/>
          </w:tcPr>
          <w:p>
            <w:r>
              <w:t>Flood</w:t>
            </w:r>
          </w:p>
        </w:tc>
        <w:tc>
          <w:tcPr>
            <w:tcW w:type="dxa" w:w="1987"/>
          </w:tcPr>
          <w:p>
            <w:r>
              <w:t>5,855</w:t>
            </w:r>
          </w:p>
        </w:tc>
        <w:tc>
          <w:tcPr>
            <w:tcW w:type="dxa" w:w="1987"/>
          </w:tcPr>
          <w:p>
            <w:r>
              <w:t>1990–2025</w:t>
            </w:r>
          </w:p>
        </w:tc>
        <w:tc>
          <w:tcPr>
            <w:tcW w:type="dxa" w:w="1987"/>
          </w:tcPr>
          <w:p>
            <w:r>
              <w:t>99.85%</w:t>
            </w:r>
          </w:p>
        </w:tc>
        <w:tc>
          <w:tcPr>
            <w:tcW w:type="dxa" w:w="1987"/>
          </w:tcPr>
          <w:p>
            <w:r>
              <w:t>0.39%</w:t>
            </w:r>
          </w:p>
        </w:tc>
      </w:tr>
      <w:tr>
        <w:tc>
          <w:tcPr>
            <w:tcW w:type="dxa" w:w="1987"/>
          </w:tcPr>
          <w:p>
            <w:r>
              <w:t>Cyclone</w:t>
            </w:r>
          </w:p>
        </w:tc>
        <w:tc>
          <w:tcPr>
            <w:tcW w:type="dxa" w:w="1987"/>
          </w:tcPr>
          <w:p>
            <w:r>
              <w:t>211</w:t>
            </w:r>
          </w:p>
        </w:tc>
        <w:tc>
          <w:tcPr>
            <w:tcW w:type="dxa" w:w="1987"/>
          </w:tcPr>
          <w:p>
            <w:r>
              <w:t>1990–2025</w:t>
            </w:r>
          </w:p>
        </w:tc>
        <w:tc>
          <w:tcPr>
            <w:tcW w:type="dxa" w:w="1987"/>
          </w:tcPr>
          <w:p>
            <w:r>
              <w:t>92.42%</w:t>
            </w:r>
          </w:p>
        </w:tc>
        <w:tc>
          <w:tcPr>
            <w:tcW w:type="dxa" w:w="1987"/>
          </w:tcPr>
          <w:p>
            <w:r>
              <w:t>100.00%</w:t>
            </w:r>
          </w:p>
        </w:tc>
      </w:tr>
    </w:tbl>
    <w:p>
      <w:r>
        <w:t>These figures are coverage indicators, not direct measures of real-world disaster frequency. The datasets have different source histories and different levels of completeness for particular fields.</w:t>
      </w:r>
    </w:p>
    <w:p>
      <w:pPr>
        <w:pStyle w:val="Heading1"/>
      </w:pPr>
      <w:r>
        <w:t>3. EDA Methodology</w:t>
      </w:r>
    </w:p>
    <w:p>
      <w:r>
        <w:t>EDA was carried out in eight sequential analytical sections:</w:t>
      </w:r>
    </w:p>
    <w:p>
      <w:pPr>
        <w:pStyle w:val="ListNumber"/>
      </w:pPr>
      <w:r>
        <w:t>Data Understanding — structure, columns, availability, and temporal coverage.</w:t>
      </w:r>
    </w:p>
    <w:p>
      <w:pPr>
        <w:pStyle w:val="ListNumber"/>
      </w:pPr>
      <w:r>
        <w:t>Temporal Analysis — annual, monthly, source-wise, recent-period, and temporal anomaly analysis.</w:t>
      </w:r>
    </w:p>
    <w:p>
      <w:pPr>
        <w:pStyle w:val="ListNumber"/>
      </w:pPr>
      <w:r>
        <w:t>Spatial Analysis — state distributions, geographic coverage, concentration, coordinate validation, and maps.</w:t>
      </w:r>
    </w:p>
    <w:p>
      <w:pPr>
        <w:pStyle w:val="ListNumber"/>
      </w:pPr>
      <w:r>
        <w:t>Severity &amp; Physical Analysis — disaster-specific physical and severity variables.</w:t>
      </w:r>
    </w:p>
    <w:p>
      <w:pPr>
        <w:pStyle w:val="ListNumber"/>
      </w:pPr>
      <w:r>
        <w:t>Error &amp; Anomaly Analysis — duplication, range validity, internal consistency, and source overlap.</w:t>
      </w:r>
    </w:p>
    <w:p>
      <w:pPr>
        <w:pStyle w:val="ListNumber"/>
      </w:pPr>
      <w:r>
        <w:t>Relationship &amp; Pattern Analysis — frequency, severity, temporal-severity, spatial-severity, and cross-disaster patterns.</w:t>
      </w:r>
    </w:p>
    <w:p>
      <w:pPr>
        <w:pStyle w:val="ListNumber"/>
      </w:pPr>
      <w:r>
        <w:t>Comparative Disaster Analysis — overall, temporal, spatial, and severity comparisons.</w:t>
      </w:r>
    </w:p>
    <w:p>
      <w:pPr>
        <w:pStyle w:val="ListNumber"/>
      </w:pPr>
      <w:r>
        <w:t>EDA Synthesis — findings, limitations, reliability, and the transition to the next phase.</w:t>
      </w:r>
    </w:p>
    <w:p>
      <w:pPr>
        <w:pStyle w:val="Heading1"/>
      </w:pPr>
      <w:r>
        <w:t>4. Data Understanding</w:t>
      </w:r>
    </w:p>
    <w:p>
      <w:r>
        <w:t>The datasets were first examined for record volume, column structure, data types, source composition, missingness, temporal coverage, and field usefulness. Fields that were entirely unusable or unsupported were not intended to be carried forward merely for completeness.</w:t>
      </w:r>
    </w:p>
    <w:p>
      <w:r>
        <w:t>A key principle established during this stage was that missingness is not automatically an error. A field may be legitimately unavailable for a source or period, but that limitation must be retained and considered during analysis.</w:t>
      </w:r>
    </w:p>
    <w:p>
      <w:pPr>
        <w:pStyle w:val="Heading1"/>
      </w:pPr>
      <w:r>
        <w:t>5. Temporal Analysis</w:t>
      </w:r>
    </w:p>
    <w:p>
      <w:pPr>
        <w:pStyle w:val="Heading2"/>
      </w:pPr>
      <w:r>
        <w:t>5.1 Annual and Source-wise Patterns</w:t>
      </w:r>
    </w:p>
    <w:p>
      <w:r>
        <w:t>Earthquake records span 2000–2026. The source transition becomes visible from 2019 onward, with USGS contributing the recent records and 2026 representing a partial year. Flood records span 1990–2025 and show a major increase in recorded counts during 2021–2023, followed by only three records in both 2024 and 2025. Cyclone records span 1990–2025 and remain comparatively low, with 2–12 records in most years.</w:t>
      </w:r>
    </w:p>
    <w:p>
      <w:pPr>
        <w:pStyle w:val="Heading2"/>
      </w:pPr>
      <w:r>
        <w:t>5.2 Monthly Patterns</w:t>
      </w:r>
    </w:p>
    <w:tbl>
      <w:tblPr>
        <w:tblStyle w:val="LightShading-Accent1"/>
        <w:tblW w:type="auto" w:w="0"/>
        <w:tblLook w:firstColumn="1" w:firstRow="1" w:lastColumn="0" w:lastRow="0" w:noHBand="0" w:noVBand="1" w:val="04A0"/>
      </w:tblPr>
      <w:tblGrid>
        <w:gridCol w:w="4968"/>
        <w:gridCol w:w="4968"/>
      </w:tblGrid>
      <w:tr>
        <w:tc>
          <w:tcPr>
            <w:tcW w:type="dxa" w:w="4968"/>
          </w:tcPr>
          <w:p>
            <w:r>
              <w:t>Disaster</w:t>
            </w:r>
          </w:p>
        </w:tc>
        <w:tc>
          <w:tcPr>
            <w:tcW w:type="dxa" w:w="4968"/>
          </w:tcPr>
          <w:p>
            <w:r>
              <w:t>Main monthly pattern</w:t>
            </w:r>
          </w:p>
        </w:tc>
      </w:tr>
      <w:tr>
        <w:tc>
          <w:tcPr>
            <w:tcW w:type="dxa" w:w="4968"/>
          </w:tcPr>
          <w:p>
            <w:r>
              <w:t>Earthquake</w:t>
            </w:r>
          </w:p>
        </w:tc>
        <w:tc>
          <w:tcPr>
            <w:tcW w:type="dxa" w:w="4968"/>
          </w:tcPr>
          <w:p>
            <w:r>
              <w:t>Relatively distributed across months; January and July are highest at about 11.4% each.</w:t>
            </w:r>
          </w:p>
        </w:tc>
      </w:tr>
      <w:tr>
        <w:tc>
          <w:tcPr>
            <w:tcW w:type="dxa" w:w="4968"/>
          </w:tcPr>
          <w:p>
            <w:r>
              <w:t>Flood</w:t>
            </w:r>
          </w:p>
        </w:tc>
        <w:tc>
          <w:tcPr>
            <w:tcW w:type="dxa" w:w="4968"/>
          </w:tcPr>
          <w:p>
            <w:r>
              <w:t>Strong monsoon concentration; July is highest at 24.53%, followed by August at 18.92%.</w:t>
            </w:r>
          </w:p>
        </w:tc>
      </w:tr>
      <w:tr>
        <w:tc>
          <w:tcPr>
            <w:tcW w:type="dxa" w:w="4968"/>
          </w:tcPr>
          <w:p>
            <w:r>
              <w:t>Cyclone</w:t>
            </w:r>
          </w:p>
        </w:tc>
        <w:tc>
          <w:tcPr>
            <w:tcW w:type="dxa" w:w="4968"/>
          </w:tcPr>
          <w:p>
            <w:r>
              <w:t>Strong seasonal concentration; October and November are highest at 18.96% each, followed by May at 16.11%.</w:t>
            </w:r>
          </w:p>
        </w:tc>
      </w:tr>
    </w:tbl>
    <w:p>
      <w:pPr>
        <w:pStyle w:val="Heading2"/>
      </w:pPr>
      <w:r>
        <w:t>5.3 Temporal Anomalies</w:t>
      </w:r>
    </w:p>
    <w:p>
      <w:r>
        <w:t>The annual anomaly check flagged flood years 2021, 2022, 2023, 2024, and 2025 under the statistical IQR rule. These are treated as data/coverage anomalies requiring interpretation rather than automatically being treated as genuine changes in disaster occurrence.</w:t>
      </w:r>
    </w:p>
    <w:p>
      <w:pPr>
        <w:pStyle w:val="Heading1"/>
      </w:pPr>
      <w:r>
        <w:t>6. Spatial Analysis</w:t>
      </w:r>
    </w:p>
    <w:p>
      <w:r>
        <w:t>Spatial analysis examined state-level recorded-event distributions and coordinate availability. The analysis deliberately separates state-level coverage from coordinate-level coverage.</w:t>
      </w:r>
    </w:p>
    <w:tbl>
      <w:tblPr>
        <w:tblStyle w:val="LightShading-Accent1"/>
        <w:tblW w:type="auto" w:w="0"/>
        <w:tblLook w:firstColumn="1" w:firstRow="1" w:lastColumn="0" w:lastRow="0" w:noHBand="0" w:noVBand="1" w:val="04A0"/>
      </w:tblPr>
      <w:tblGrid>
        <w:gridCol w:w="4968"/>
        <w:gridCol w:w="4968"/>
      </w:tblGrid>
      <w:tr>
        <w:tc>
          <w:tcPr>
            <w:tcW w:type="dxa" w:w="4968"/>
          </w:tcPr>
          <w:p>
            <w:r>
              <w:t>Disaster</w:t>
            </w:r>
          </w:p>
        </w:tc>
        <w:tc>
          <w:tcPr>
            <w:tcW w:type="dxa" w:w="4968"/>
          </w:tcPr>
          <w:p>
            <w:r>
              <w:t>Spatial observation</w:t>
            </w:r>
          </w:p>
        </w:tc>
      </w:tr>
      <w:tr>
        <w:tc>
          <w:tcPr>
            <w:tcW w:type="dxa" w:w="4968"/>
          </w:tcPr>
          <w:p>
            <w:r>
              <w:t>Earthquake</w:t>
            </w:r>
          </w:p>
        </w:tc>
        <w:tc>
          <w:tcPr>
            <w:tcW w:type="dxa" w:w="4968"/>
          </w:tcPr>
          <w:p>
            <w:r>
              <w:t>5,318 records have state names; all 7,690 records have coordinates.</w:t>
            </w:r>
          </w:p>
        </w:tc>
      </w:tr>
      <w:tr>
        <w:tc>
          <w:tcPr>
            <w:tcW w:type="dxa" w:w="4968"/>
          </w:tcPr>
          <w:p>
            <w:r>
              <w:t>Flood</w:t>
            </w:r>
          </w:p>
        </w:tc>
        <w:tc>
          <w:tcPr>
            <w:tcW w:type="dxa" w:w="4968"/>
          </w:tcPr>
          <w:p>
            <w:r>
              <w:t>5,846 records have state names, but only 23 of 5,855 records (0.39%) have coordinates.</w:t>
            </w:r>
          </w:p>
        </w:tc>
      </w:tr>
      <w:tr>
        <w:tc>
          <w:tcPr>
            <w:tcW w:type="dxa" w:w="4968"/>
          </w:tcPr>
          <w:p>
            <w:r>
              <w:t>Cyclone</w:t>
            </w:r>
          </w:p>
        </w:tc>
        <w:tc>
          <w:tcPr>
            <w:tcW w:type="dxa" w:w="4968"/>
          </w:tcPr>
          <w:p>
            <w:r>
              <w:t>195 records have state names and all 211 records have coordinates.</w:t>
            </w:r>
          </w:p>
        </w:tc>
      </w:tr>
    </w:tbl>
    <w:p>
      <w:r>
        <w:t>The Flood dataset therefore uses a state-level choropleth for broad distribution and preserves the 23 actual coordinates separately, including offshore locations in the Bay of Bengal/Indian Ocean. Coordinates were not invented or reassigned merely to improve visualization.</w:t>
      </w:r>
    </w:p>
    <w:p>
      <w:pPr>
        <w:pStyle w:val="Heading2"/>
      </w:pPr>
      <w:r>
        <w:t>6.1 Major State-Level Patterns</w:t>
      </w:r>
    </w:p>
    <w:p>
      <w:r>
        <w:t>Andaman and Nicobar Islands has the highest recorded total, overwhelmingly driven by 3,210 earthquake records. Assam has 848 flood records, while Maharashtra has 847. Flood is the dominant recorded disaster in 26 states, earthquake in 9 states, and cyclone in 1 state.</w:t>
      </w:r>
    </w:p>
    <w:p>
      <w:r>
        <w:t>These are recorded-event patterns. They should not be described as population-adjusted risk or vulnerability without exposure, population, infrastructure, and other supporting data.</w:t>
      </w:r>
    </w:p>
    <w:p>
      <w:pPr>
        <w:pStyle w:val="Heading1"/>
      </w:pPr>
      <w:r>
        <w:t>7. Severity &amp; Physical Analysis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Disaster</w:t>
            </w:r>
          </w:p>
        </w:tc>
        <w:tc>
          <w:tcPr>
            <w:tcW w:type="dxa" w:w="3312"/>
          </w:tcPr>
          <w:p>
            <w:r>
              <w:t>Metric</w:t>
            </w:r>
          </w:p>
        </w:tc>
        <w:tc>
          <w:tcPr>
            <w:tcW w:type="dxa" w:w="3312"/>
          </w:tcPr>
          <w:p>
            <w:r>
              <w:t>Key result</w:t>
            </w:r>
          </w:p>
        </w:tc>
      </w:tr>
      <w:tr>
        <w:tc>
          <w:tcPr>
            <w:tcW w:type="dxa" w:w="3312"/>
          </w:tcPr>
          <w:p>
            <w:r>
              <w:t>Earthquake</w:t>
            </w:r>
          </w:p>
        </w:tc>
        <w:tc>
          <w:tcPr>
            <w:tcW w:type="dxa" w:w="3312"/>
          </w:tcPr>
          <w:p>
            <w:r>
              <w:t>Magnitude</w:t>
            </w:r>
          </w:p>
        </w:tc>
        <w:tc>
          <w:tcPr>
            <w:tcW w:type="dxa" w:w="3312"/>
          </w:tcPr>
          <w:p>
            <w:r>
              <w:t>Mean 4.49; median 4.4; maximum 7.7; 7,690 valid records.</w:t>
            </w:r>
          </w:p>
        </w:tc>
      </w:tr>
      <w:tr>
        <w:tc>
          <w:tcPr>
            <w:tcW w:type="dxa" w:w="3312"/>
          </w:tcPr>
          <w:p>
            <w:r>
              <w:t>Earthquake</w:t>
            </w:r>
          </w:p>
        </w:tc>
        <w:tc>
          <w:tcPr>
            <w:tcW w:type="dxa" w:w="3312"/>
          </w:tcPr>
          <w:p>
            <w:r>
              <w:t>Depth</w:t>
            </w:r>
          </w:p>
        </w:tc>
        <w:tc>
          <w:tcPr>
            <w:tcW w:type="dxa" w:w="3312"/>
          </w:tcPr>
          <w:p>
            <w:r>
              <w:t>Mean 30.43 km; median 24.2 km; maximum 232.7 km.</w:t>
            </w:r>
          </w:p>
        </w:tc>
      </w:tr>
      <w:tr>
        <w:tc>
          <w:tcPr>
            <w:tcW w:type="dxa" w:w="3312"/>
          </w:tcPr>
          <w:p>
            <w:r>
              <w:t>Flood</w:t>
            </w:r>
          </w:p>
        </w:tc>
        <w:tc>
          <w:tcPr>
            <w:tcW w:type="dxa" w:w="3312"/>
          </w:tcPr>
          <w:p>
            <w:r>
              <w:t>Duration</w:t>
            </w:r>
          </w:p>
        </w:tc>
        <w:tc>
          <w:tcPr>
            <w:tcW w:type="dxa" w:w="3312"/>
          </w:tcPr>
          <w:p>
            <w:r>
              <w:t>Mean 3.03 days; median 1 day; maximum 365 days.</w:t>
            </w:r>
          </w:p>
        </w:tc>
      </w:tr>
      <w:tr>
        <w:tc>
          <w:tcPr>
            <w:tcW w:type="dxa" w:w="3312"/>
          </w:tcPr>
          <w:p>
            <w:r>
              <w:t>Flood</w:t>
            </w:r>
          </w:p>
        </w:tc>
        <w:tc>
          <w:tcPr>
            <w:tcW w:type="dxa" w:w="3312"/>
          </w:tcPr>
          <w:p>
            <w:r>
              <w:t>GDACS alert score</w:t>
            </w:r>
          </w:p>
        </w:tc>
        <w:tc>
          <w:tcPr>
            <w:tcW w:type="dxa" w:w="3312"/>
          </w:tcPr>
          <w:p>
            <w:r>
              <w:t>23 records; mean 2.26; values 2–3.</w:t>
            </w:r>
          </w:p>
        </w:tc>
      </w:tr>
      <w:tr>
        <w:tc>
          <w:tcPr>
            <w:tcW w:type="dxa" w:w="3312"/>
          </w:tcPr>
          <w:p>
            <w:r>
              <w:t>Cyclone</w:t>
            </w:r>
          </w:p>
        </w:tc>
        <w:tc>
          <w:tcPr>
            <w:tcW w:type="dxa" w:w="3312"/>
          </w:tcPr>
          <w:p>
            <w:r>
              <w:t>Wind speed</w:t>
            </w:r>
          </w:p>
        </w:tc>
        <w:tc>
          <w:tcPr>
            <w:tcW w:type="dxa" w:w="3312"/>
          </w:tcPr>
          <w:p>
            <w:r>
              <w:t>82 records; mean 62.04 knots; median 56.5; maximum 127.</w:t>
            </w:r>
          </w:p>
        </w:tc>
      </w:tr>
      <w:tr>
        <w:tc>
          <w:tcPr>
            <w:tcW w:type="dxa" w:w="3312"/>
          </w:tcPr>
          <w:p>
            <w:r>
              <w:t>Cyclone</w:t>
            </w:r>
          </w:p>
        </w:tc>
        <w:tc>
          <w:tcPr>
            <w:tcW w:type="dxa" w:w="3312"/>
          </w:tcPr>
          <w:p>
            <w:r>
              <w:t>Pressure</w:t>
            </w:r>
          </w:p>
        </w:tc>
        <w:tc>
          <w:tcPr>
            <w:tcW w:type="dxa" w:w="3312"/>
          </w:tcPr>
          <w:p>
            <w:r>
              <w:t>82 records; mean 979.72 mb; minimum 920 mb.</w:t>
            </w:r>
          </w:p>
        </w:tc>
      </w:tr>
    </w:tbl>
    <w:p>
      <w:r>
        <w:t>The earthquake magnitude-depth correlation was -0.046, indicating essentially no linear relationship. Flood duration versus GDACS alert score was -0.139, but this is low-confidence because only 23 records overlap. Cyclone wind speed versus pressure was -0.940, showing a very strong inverse relationship in the available records.</w:t>
      </w:r>
    </w:p>
    <w:p>
      <w:pPr>
        <w:pStyle w:val="Heading1"/>
      </w:pPr>
      <w:r>
        <w:t>8. Error &amp; Anomaly Analysis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Check</w:t>
            </w:r>
          </w:p>
        </w:tc>
        <w:tc>
          <w:tcPr>
            <w:tcW w:type="dxa" w:w="2484"/>
          </w:tcPr>
          <w:p>
            <w:r>
              <w:t>Earthquake</w:t>
            </w:r>
          </w:p>
        </w:tc>
        <w:tc>
          <w:tcPr>
            <w:tcW w:type="dxa" w:w="2484"/>
          </w:tcPr>
          <w:p>
            <w:r>
              <w:t>Flood</w:t>
            </w:r>
          </w:p>
        </w:tc>
        <w:tc>
          <w:tcPr>
            <w:tcW w:type="dxa" w:w="2484"/>
          </w:tcPr>
          <w:p>
            <w:r>
              <w:t>Cyclone</w:t>
            </w:r>
          </w:p>
        </w:tc>
      </w:tr>
      <w:tr>
        <w:tc>
          <w:tcPr>
            <w:tcW w:type="dxa" w:w="2484"/>
          </w:tcPr>
          <w:p>
            <w:r>
              <w:t>Full-row duplicates</w:t>
            </w:r>
          </w:p>
        </w:tc>
        <w:tc>
          <w:tcPr>
            <w:tcW w:type="dxa" w:w="2484"/>
          </w:tcPr>
          <w:p>
            <w:r>
              <w:t>0</w:t>
            </w:r>
          </w:p>
        </w:tc>
        <w:tc>
          <w:tcPr>
            <w:tcW w:type="dxa" w:w="2484"/>
          </w:tcPr>
          <w:p>
            <w:r>
              <w:t>0</w:t>
            </w:r>
          </w:p>
        </w:tc>
        <w:tc>
          <w:tcPr>
            <w:tcW w:type="dxa" w:w="2484"/>
          </w:tcPr>
          <w:p>
            <w:r>
              <w:t>0</w:t>
            </w:r>
          </w:p>
        </w:tc>
      </w:tr>
      <w:tr>
        <w:tc>
          <w:tcPr>
            <w:tcW w:type="dxa" w:w="2484"/>
          </w:tcPr>
          <w:p>
            <w:r>
              <w:t>Duplicate event_id</w:t>
            </w:r>
          </w:p>
        </w:tc>
        <w:tc>
          <w:tcPr>
            <w:tcW w:type="dxa" w:w="2484"/>
          </w:tcPr>
          <w:p>
            <w:r>
              <w:t>0</w:t>
            </w:r>
          </w:p>
        </w:tc>
        <w:tc>
          <w:tcPr>
            <w:tcW w:type="dxa" w:w="2484"/>
          </w:tcPr>
          <w:p>
            <w:r>
              <w:t>0</w:t>
            </w:r>
          </w:p>
        </w:tc>
        <w:tc>
          <w:tcPr>
            <w:tcW w:type="dxa" w:w="2484"/>
          </w:tcPr>
          <w:p>
            <w:r>
              <w:t>0</w:t>
            </w:r>
          </w:p>
        </w:tc>
      </w:tr>
      <w:tr>
        <w:tc>
          <w:tcPr>
            <w:tcW w:type="dxa" w:w="2484"/>
          </w:tcPr>
          <w:p>
            <w:r>
              <w:t>Duplicate source_event_id</w:t>
            </w:r>
          </w:p>
        </w:tc>
        <w:tc>
          <w:tcPr>
            <w:tcW w:type="dxa" w:w="2484"/>
          </w:tcPr>
          <w:p>
            <w:r>
              <w:t>0</w:t>
            </w:r>
          </w:p>
        </w:tc>
        <w:tc>
          <w:tcPr>
            <w:tcW w:type="dxa" w:w="2484"/>
          </w:tcPr>
          <w:p>
            <w:r>
              <w:t>0</w:t>
            </w:r>
          </w:p>
        </w:tc>
        <w:tc>
          <w:tcPr>
            <w:tcW w:type="dxa" w:w="2484"/>
          </w:tcPr>
          <w:p>
            <w:r>
              <w:t>0</w:t>
            </w:r>
          </w:p>
        </w:tc>
      </w:tr>
      <w:tr>
        <w:tc>
          <w:tcPr>
            <w:tcW w:type="dxa" w:w="2484"/>
          </w:tcPr>
          <w:p>
            <w:r>
              <w:t>Invalid coordinate/range values</w:t>
            </w:r>
          </w:p>
        </w:tc>
        <w:tc>
          <w:tcPr>
            <w:tcW w:type="dxa" w:w="2484"/>
          </w:tcPr>
          <w:p>
            <w:r>
              <w:t>0</w:t>
            </w:r>
          </w:p>
        </w:tc>
        <w:tc>
          <w:tcPr>
            <w:tcW w:type="dxa" w:w="2484"/>
          </w:tcPr>
          <w:p>
            <w:r>
              <w:t>0</w:t>
            </w:r>
          </w:p>
        </w:tc>
        <w:tc>
          <w:tcPr>
            <w:tcW w:type="dxa" w:w="2484"/>
          </w:tcPr>
          <w:p>
            <w:r>
              <w:t>0</w:t>
            </w:r>
          </w:p>
        </w:tc>
      </w:tr>
      <w:tr>
        <w:tc>
          <w:tcPr>
            <w:tcW w:type="dxa" w:w="2484"/>
          </w:tcPr>
          <w:p>
            <w:r>
              <w:t>Date–year/month mismatches</w:t>
            </w:r>
          </w:p>
        </w:tc>
        <w:tc>
          <w:tcPr>
            <w:tcW w:type="dxa" w:w="2484"/>
          </w:tcPr>
          <w:p>
            <w:r>
              <w:t>0</w:t>
            </w:r>
          </w:p>
        </w:tc>
        <w:tc>
          <w:tcPr>
            <w:tcW w:type="dxa" w:w="2484"/>
          </w:tcPr>
          <w:p>
            <w:r>
              <w:t>0</w:t>
            </w:r>
          </w:p>
        </w:tc>
        <w:tc>
          <w:tcPr>
            <w:tcW w:type="dxa" w:w="2484"/>
          </w:tcPr>
          <w:p>
            <w:r>
              <w:t>0</w:t>
            </w:r>
          </w:p>
        </w:tc>
      </w:tr>
      <w:tr>
        <w:tc>
          <w:tcPr>
            <w:tcW w:type="dxa" w:w="2484"/>
          </w:tcPr>
          <w:p>
            <w:r>
              <w:t>Cross-source overlap</w:t>
            </w:r>
          </w:p>
        </w:tc>
        <w:tc>
          <w:tcPr>
            <w:tcW w:type="dxa" w:w="2484"/>
          </w:tcPr>
          <w:p>
            <w:r>
              <w:t>0</w:t>
            </w:r>
          </w:p>
        </w:tc>
        <w:tc>
          <w:tcPr>
            <w:tcW w:type="dxa" w:w="2484"/>
          </w:tcPr>
          <w:p>
            <w:r>
              <w:t>0</w:t>
            </w:r>
          </w:p>
        </w:tc>
        <w:tc>
          <w:tcPr>
            <w:tcW w:type="dxa" w:w="2484"/>
          </w:tcPr>
          <w:p>
            <w:r>
              <w:t>0</w:t>
            </w:r>
          </w:p>
        </w:tc>
      </w:tr>
    </w:tbl>
    <w:p>
      <w:r>
        <w:t>The completed checks found no detected structural, duplication, range, date-consistency, or cross-source overlap errors. This is a quality assessment of the tested conditions, not a claim that the datasets contain no uncertainty or source limitations.</w:t>
      </w:r>
    </w:p>
    <w:p>
      <w:pPr>
        <w:pStyle w:val="Heading1"/>
      </w:pPr>
      <w:r>
        <w:t>9. Relationship &amp; Pattern Analysis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Relationship</w:t>
            </w:r>
          </w:p>
        </w:tc>
        <w:tc>
          <w:tcPr>
            <w:tcW w:type="dxa" w:w="3312"/>
          </w:tcPr>
          <w:p>
            <w:r>
              <w:t>Correlation</w:t>
            </w:r>
          </w:p>
        </w:tc>
        <w:tc>
          <w:tcPr>
            <w:tcW w:type="dxa" w:w="3312"/>
          </w:tcPr>
          <w:p>
            <w:r>
              <w:t>Interpretation</w:t>
            </w:r>
          </w:p>
        </w:tc>
      </w:tr>
      <w:tr>
        <w:tc>
          <w:tcPr>
            <w:tcW w:type="dxa" w:w="3312"/>
          </w:tcPr>
          <w:p>
            <w:r>
              <w:t>Earthquake frequency ↔ Flood frequency</w:t>
            </w:r>
          </w:p>
        </w:tc>
        <w:tc>
          <w:tcPr>
            <w:tcW w:type="dxa" w:w="3312"/>
          </w:tcPr>
          <w:p>
            <w:r>
              <w:t>-0.071</w:t>
            </w:r>
          </w:p>
        </w:tc>
        <w:tc>
          <w:tcPr>
            <w:tcW w:type="dxa" w:w="3312"/>
          </w:tcPr>
          <w:p>
            <w:r>
              <w:t>Essentially no linear association.</w:t>
            </w:r>
          </w:p>
        </w:tc>
      </w:tr>
      <w:tr>
        <w:tc>
          <w:tcPr>
            <w:tcW w:type="dxa" w:w="3312"/>
          </w:tcPr>
          <w:p>
            <w:r>
              <w:t>Earthquake frequency ↔ Cyclone frequency</w:t>
            </w:r>
          </w:p>
        </w:tc>
        <w:tc>
          <w:tcPr>
            <w:tcW w:type="dxa" w:w="3312"/>
          </w:tcPr>
          <w:p>
            <w:r>
              <w:t>0.425</w:t>
            </w:r>
          </w:p>
        </w:tc>
        <w:tc>
          <w:tcPr>
            <w:tcW w:type="dxa" w:w="3312"/>
          </w:tcPr>
          <w:p>
            <w:r>
              <w:t>Moderate positive state-level association.</w:t>
            </w:r>
          </w:p>
        </w:tc>
      </w:tr>
      <w:tr>
        <w:tc>
          <w:tcPr>
            <w:tcW w:type="dxa" w:w="3312"/>
          </w:tcPr>
          <w:p>
            <w:r>
              <w:t>Flood frequency ↔ Cyclone frequency</w:t>
            </w:r>
          </w:p>
        </w:tc>
        <w:tc>
          <w:tcPr>
            <w:tcW w:type="dxa" w:w="3312"/>
          </w:tcPr>
          <w:p>
            <w:r>
              <w:t>-0.101</w:t>
            </w:r>
          </w:p>
        </w:tc>
        <w:tc>
          <w:tcPr>
            <w:tcW w:type="dxa" w:w="3312"/>
          </w:tcPr>
          <w:p>
            <w:r>
              <w:t>Essentially no linear association.</w:t>
            </w:r>
          </w:p>
        </w:tc>
      </w:tr>
      <w:tr>
        <w:tc>
          <w:tcPr>
            <w:tcW w:type="dxa" w:w="3312"/>
          </w:tcPr>
          <w:p>
            <w:r>
              <w:t>Earthquake magnitude ↔ Depth</w:t>
            </w:r>
          </w:p>
        </w:tc>
        <w:tc>
          <w:tcPr>
            <w:tcW w:type="dxa" w:w="3312"/>
          </w:tcPr>
          <w:p>
            <w:r>
              <w:t>-0.046</w:t>
            </w:r>
          </w:p>
        </w:tc>
        <w:tc>
          <w:tcPr>
            <w:tcW w:type="dxa" w:w="3312"/>
          </w:tcPr>
          <w:p>
            <w:r>
              <w:t>Essentially no linear relationship.</w:t>
            </w:r>
          </w:p>
        </w:tc>
      </w:tr>
      <w:tr>
        <w:tc>
          <w:tcPr>
            <w:tcW w:type="dxa" w:w="3312"/>
          </w:tcPr>
          <w:p>
            <w:r>
              <w:t>Flood duration ↔ GDACS alert score</w:t>
            </w:r>
          </w:p>
        </w:tc>
        <w:tc>
          <w:tcPr>
            <w:tcW w:type="dxa" w:w="3312"/>
          </w:tcPr>
          <w:p>
            <w:r>
              <w:t>-0.139</w:t>
            </w:r>
          </w:p>
        </w:tc>
        <w:tc>
          <w:tcPr>
            <w:tcW w:type="dxa" w:w="3312"/>
          </w:tcPr>
          <w:p>
            <w:r>
              <w:t>Very weak; only 23 overlapping records.</w:t>
            </w:r>
          </w:p>
        </w:tc>
      </w:tr>
      <w:tr>
        <w:tc>
          <w:tcPr>
            <w:tcW w:type="dxa" w:w="3312"/>
          </w:tcPr>
          <w:p>
            <w:r>
              <w:t>Cyclone wind speed ↔ Pressure</w:t>
            </w:r>
          </w:p>
        </w:tc>
        <w:tc>
          <w:tcPr>
            <w:tcW w:type="dxa" w:w="3312"/>
          </w:tcPr>
          <w:p>
            <w:r>
              <w:t>-0.940</w:t>
            </w:r>
          </w:p>
        </w:tc>
        <w:tc>
          <w:tcPr>
            <w:tcW w:type="dxa" w:w="3312"/>
          </w:tcPr>
          <w:p>
            <w:r>
              <w:t>Very strong inverse relationship.</w:t>
            </w:r>
          </w:p>
        </w:tc>
      </w:tr>
      <w:tr>
        <w:tc>
          <w:tcPr>
            <w:tcW w:type="dxa" w:w="3312"/>
          </w:tcPr>
          <w:p>
            <w:r>
              <w:t>Earthquake year ↔ Magnitude</w:t>
            </w:r>
          </w:p>
        </w:tc>
        <w:tc>
          <w:tcPr>
            <w:tcW w:type="dxa" w:w="3312"/>
          </w:tcPr>
          <w:p>
            <w:r>
              <w:t>0.011</w:t>
            </w:r>
          </w:p>
        </w:tc>
        <w:tc>
          <w:tcPr>
            <w:tcW w:type="dxa" w:w="3312"/>
          </w:tcPr>
          <w:p>
            <w:r>
              <w:t>No meaningful temporal relationship.</w:t>
            </w:r>
          </w:p>
        </w:tc>
      </w:tr>
      <w:tr>
        <w:tc>
          <w:tcPr>
            <w:tcW w:type="dxa" w:w="3312"/>
          </w:tcPr>
          <w:p>
            <w:r>
              <w:t>Flood year ↔ Duration</w:t>
            </w:r>
          </w:p>
        </w:tc>
        <w:tc>
          <w:tcPr>
            <w:tcW w:type="dxa" w:w="3312"/>
          </w:tcPr>
          <w:p>
            <w:r>
              <w:t>-0.020</w:t>
            </w:r>
          </w:p>
        </w:tc>
        <w:tc>
          <w:tcPr>
            <w:tcW w:type="dxa" w:w="3312"/>
          </w:tcPr>
          <w:p>
            <w:r>
              <w:t>No meaningful temporal relationship.</w:t>
            </w:r>
          </w:p>
        </w:tc>
      </w:tr>
      <w:tr>
        <w:tc>
          <w:tcPr>
            <w:tcW w:type="dxa" w:w="3312"/>
          </w:tcPr>
          <w:p>
            <w:r>
              <w:t>Cyclone year ↔ Wind speed</w:t>
            </w:r>
          </w:p>
        </w:tc>
        <w:tc>
          <w:tcPr>
            <w:tcW w:type="dxa" w:w="3312"/>
          </w:tcPr>
          <w:p>
            <w:r>
              <w:t>-0.129</w:t>
            </w:r>
          </w:p>
        </w:tc>
        <w:tc>
          <w:tcPr>
            <w:tcW w:type="dxa" w:w="3312"/>
          </w:tcPr>
          <w:p>
            <w:r>
              <w:t>Very weak temporal relationship.</w:t>
            </w:r>
          </w:p>
        </w:tc>
      </w:tr>
    </w:tbl>
    <w:p>
      <w:r>
        <w:t>Correlation values describe association within the recorded data. They do not establish causation.</w:t>
      </w:r>
    </w:p>
    <w:p>
      <w:pPr>
        <w:pStyle w:val="Heading1"/>
      </w:pPr>
      <w:r>
        <w:t>10. Comparative Disaster Analysis</w:t>
      </w:r>
    </w:p>
    <w:p>
      <w:pPr>
        <w:pStyle w:val="Heading2"/>
      </w:pPr>
      <w:r>
        <w:t>10.1 Overall Comparison</w:t>
      </w:r>
    </w:p>
    <w:p>
      <w:r>
        <w:t>Earthquake has 7,690 records and complete coordinate coverage. Flood has 5,855 records with almost complete state coverage but only 0.39% coordinate coverage. Cyclone has 211 records and complete coordinate coverage.</w:t>
      </w:r>
    </w:p>
    <w:p>
      <w:pPr>
        <w:pStyle w:val="Heading2"/>
      </w:pPr>
      <w:r>
        <w:t>10.2 Common-Period Temporal Comparison</w:t>
      </w:r>
    </w:p>
    <w:tbl>
      <w:tblPr>
        <w:tblStyle w:val="LightShading-Accent1"/>
        <w:tblW w:type="auto" w:w="0"/>
        <w:tblLook w:firstColumn="1" w:firstRow="1" w:lastColumn="0" w:lastRow="0" w:noHBand="0" w:noVBand="1" w:val="04A0"/>
      </w:tblPr>
      <w:tblGrid>
        <w:gridCol w:w="4968"/>
        <w:gridCol w:w="4968"/>
      </w:tblGrid>
      <w:tr>
        <w:tc>
          <w:tcPr>
            <w:tcW w:type="dxa" w:w="4968"/>
          </w:tcPr>
          <w:p>
            <w:r>
              <w:t>2000–2025 total</w:t>
            </w:r>
          </w:p>
        </w:tc>
        <w:tc>
          <w:tcPr>
            <w:tcW w:type="dxa" w:w="4968"/>
          </w:tcPr>
          <w:p>
            <w:r>
              <w:t>Recorded events</w:t>
            </w:r>
          </w:p>
        </w:tc>
      </w:tr>
      <w:tr>
        <w:tc>
          <w:tcPr>
            <w:tcW w:type="dxa" w:w="4968"/>
          </w:tcPr>
          <w:p>
            <w:r>
              <w:t>Earthquake</w:t>
            </w:r>
          </w:p>
        </w:tc>
        <w:tc>
          <w:tcPr>
            <w:tcW w:type="dxa" w:w="4968"/>
          </w:tcPr>
          <w:p>
            <w:r>
              <w:t>7,518</w:t>
            </w:r>
          </w:p>
        </w:tc>
      </w:tr>
      <w:tr>
        <w:tc>
          <w:tcPr>
            <w:tcW w:type="dxa" w:w="4968"/>
          </w:tcPr>
          <w:p>
            <w:r>
              <w:t>Flood</w:t>
            </w:r>
          </w:p>
        </w:tc>
        <w:tc>
          <w:tcPr>
            <w:tcW w:type="dxa" w:w="4968"/>
          </w:tcPr>
          <w:p>
            <w:r>
              <w:t>4,670</w:t>
            </w:r>
          </w:p>
        </w:tc>
      </w:tr>
      <w:tr>
        <w:tc>
          <w:tcPr>
            <w:tcW w:type="dxa" w:w="4968"/>
          </w:tcPr>
          <w:p>
            <w:r>
              <w:t>Cyclone</w:t>
            </w:r>
          </w:p>
        </w:tc>
        <w:tc>
          <w:tcPr>
            <w:tcW w:type="dxa" w:w="4968"/>
          </w:tcPr>
          <w:p>
            <w:r>
              <w:t>140</w:t>
            </w:r>
          </w:p>
        </w:tc>
      </w:tr>
    </w:tbl>
    <w:p>
      <w:r>
        <w:t>The common-period comparison shows the flood spike in 2021–2023, the earthquake increase from 2019 onward, and relatively low cyclone counts. Source-coverage changes mean these trends should not automatically be interpreted as true changes in real-world occurrence.</w:t>
      </w:r>
    </w:p>
    <w:p>
      <w:pPr>
        <w:pStyle w:val="Heading2"/>
      </w:pPr>
      <w:r>
        <w:t>10.3 Spatial Comparison</w:t>
      </w:r>
    </w:p>
    <w:p>
      <w:r>
        <w:t>Across the states represented in the combined state table, Flood is the dominant recorded disaster in 26 states, Earthquake in 9, and Cyclone in 1. This is a distribution of recorded events, not a vulnerability ranking.</w:t>
      </w:r>
    </w:p>
    <w:p>
      <w:pPr>
        <w:pStyle w:val="Heading2"/>
      </w:pPr>
      <w:r>
        <w:t>10.4 Severity Comparison</w:t>
      </w:r>
    </w:p>
    <w:p>
      <w:r>
        <w:t>The three disasters cannot be ranked by raw severity values because their metrics measure different physical properties: earthquake magnitude, flood duration, and cyclone wind speed. Cyclone wind-speed coverage is also partial (82 of 211 records).</w:t>
      </w:r>
    </w:p>
    <w:p>
      <w:pPr>
        <w:pStyle w:val="Heading1"/>
      </w:pPr>
      <w:r>
        <w:t>11. Major Findings</w:t>
      </w:r>
    </w:p>
    <w:p>
      <w:pPr>
        <w:pStyle w:val="ListBullet"/>
      </w:pPr>
      <w:r>
        <w:t>IDIP contains meaningful temporal, spatial, and physical patterns across the three disaster datasets.</w:t>
      </w:r>
    </w:p>
    <w:p>
      <w:pPr>
        <w:pStyle w:val="ListBullet"/>
      </w:pPr>
      <w:r>
        <w:t>Floods show the strongest seasonal concentration, especially in July and August.</w:t>
      </w:r>
    </w:p>
    <w:p>
      <w:pPr>
        <w:pStyle w:val="ListBullet"/>
      </w:pPr>
      <w:r>
        <w:t>Cyclones show strong seasonal concentration around October–November and May.</w:t>
      </w:r>
    </w:p>
    <w:p>
      <w:pPr>
        <w:pStyle w:val="ListBullet"/>
      </w:pPr>
      <w:r>
        <w:t>Andaman and Nicobar Islands is strongly dominated by recorded earthquake events.</w:t>
      </w:r>
    </w:p>
    <w:p>
      <w:pPr>
        <w:pStyle w:val="ListBullet"/>
      </w:pPr>
      <w:r>
        <w:t>Assam and Maharashtra have the highest recorded flood counts in the state-level table.</w:t>
      </w:r>
    </w:p>
    <w:p>
      <w:pPr>
        <w:pStyle w:val="ListBullet"/>
      </w:pPr>
      <w:r>
        <w:t>Cyclone wind speed and pressure have the strongest measured relationship in the EDA (r = -0.940).</w:t>
      </w:r>
    </w:p>
    <w:p>
      <w:pPr>
        <w:pStyle w:val="ListBullet"/>
      </w:pPr>
      <w:r>
        <w:t>No meaningful temporal trend was found for the tested severity measures.</w:t>
      </w:r>
    </w:p>
    <w:p>
      <w:pPr>
        <w:pStyle w:val="ListBullet"/>
      </w:pPr>
      <w:r>
        <w:t>No tested duplication, range, date-consistency, or cross-source overlap error was detected.</w:t>
      </w:r>
    </w:p>
    <w:p>
      <w:pPr>
        <w:pStyle w:val="Heading1"/>
      </w:pPr>
      <w:r>
        <w:t>12. Data Limitations &amp; Reliability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Dataset</w:t>
            </w:r>
          </w:p>
        </w:tc>
        <w:tc>
          <w:tcPr>
            <w:tcW w:type="dxa" w:w="3312"/>
          </w:tcPr>
          <w:p>
            <w:r>
              <w:t>Reliability summary</w:t>
            </w:r>
          </w:p>
        </w:tc>
        <w:tc>
          <w:tcPr>
            <w:tcW w:type="dxa" w:w="3312"/>
          </w:tcPr>
          <w:p>
            <w:r>
              <w:t>Main limitation</w:t>
            </w:r>
          </w:p>
        </w:tc>
      </w:tr>
      <w:tr>
        <w:tc>
          <w:tcPr>
            <w:tcW w:type="dxa" w:w="3312"/>
          </w:tcPr>
          <w:p>
            <w:r>
              <w:t>Earthquake</w:t>
            </w:r>
          </w:p>
        </w:tc>
        <w:tc>
          <w:tcPr>
            <w:tcW w:type="dxa" w:w="3312"/>
          </w:tcPr>
          <w:p>
            <w:r>
              <w:t>Strong for coordinates and magnitude/depth analysis</w:t>
            </w:r>
          </w:p>
        </w:tc>
        <w:tc>
          <w:tcPr>
            <w:tcW w:type="dxa" w:w="3312"/>
          </w:tcPr>
          <w:p>
            <w:r>
              <w:t>Source transition around 2019; 2026 is partial; district coverage limited.</w:t>
            </w:r>
          </w:p>
        </w:tc>
      </w:tr>
      <w:tr>
        <w:tc>
          <w:tcPr>
            <w:tcW w:type="dxa" w:w="3312"/>
          </w:tcPr>
          <w:p>
            <w:r>
              <w:t>Flood</w:t>
            </w:r>
          </w:p>
        </w:tc>
        <w:tc>
          <w:tcPr>
            <w:tcW w:type="dxa" w:w="3312"/>
          </w:tcPr>
          <w:p>
            <w:r>
              <w:t>Strong for state-level distribution; limited for coordinates/severity</w:t>
            </w:r>
          </w:p>
        </w:tc>
        <w:tc>
          <w:tcPr>
            <w:tcW w:type="dxa" w:w="3312"/>
          </w:tcPr>
          <w:p>
            <w:r>
              <w:t>0.39% coordinate coverage and major source/count changes.</w:t>
            </w:r>
          </w:p>
        </w:tc>
      </w:tr>
      <w:tr>
        <w:tc>
          <w:tcPr>
            <w:tcW w:type="dxa" w:w="3312"/>
          </w:tcPr>
          <w:p>
            <w:r>
              <w:t>Cyclone</w:t>
            </w:r>
          </w:p>
        </w:tc>
        <w:tc>
          <w:tcPr>
            <w:tcW w:type="dxa" w:w="3312"/>
          </w:tcPr>
          <w:p>
            <w:r>
              <w:t>Strong for coordinates; partial for physical severity</w:t>
            </w:r>
          </w:p>
        </w:tc>
        <w:tc>
          <w:tcPr>
            <w:tcW w:type="dxa" w:w="3312"/>
          </w:tcPr>
          <w:p>
            <w:r>
              <w:t>Severity fields available only for subsets; fewer total records.</w:t>
            </w:r>
          </w:p>
        </w:tc>
      </w:tr>
    </w:tbl>
    <w:p>
      <w:r>
        <w:t>The datasets are suitable for further analytical development, but downstream models and product claims must carry these limitations explicitly.</w:t>
      </w:r>
    </w:p>
    <w:p>
      <w:pPr>
        <w:pStyle w:val="Heading1"/>
      </w:pPr>
      <w:r>
        <w:t>13. EDA Final Conclusion</w:t>
      </w:r>
    </w:p>
    <w:p>
      <w:r>
        <w:t>The EDA phase establishes that the cleaned IDIP datasets are structurally suitable for the next project stage. The analysis found no detected duplication, invalid-range, date-consistency, or cross-source overlap errors in the tested conditions. At the same time, EDA exposed important differences in source coverage, coordinate availability, severity completeness, and temporal continuity.</w:t>
      </w:r>
    </w:p>
    <w:p>
      <w:r>
        <w:t>Therefore, IDIP should move forward using a reliability-aware analytical approach: strong fields can be used directly, partial fields must be treated with coverage constraints, and source-transition periods must not be interpreted as uninterrupted real-world trends.</w:t>
      </w:r>
    </w:p>
    <w:p>
      <w:pPr>
        <w:pStyle w:val="Heading1"/>
      </w:pPr>
      <w:r>
        <w:t>14. How EDA Feeds the Next IDIP Phase</w:t>
      </w:r>
    </w:p>
    <w:p>
      <w:r>
        <w:t>EDA does not produce the final prediction or accuracy score. Its role is to establish what can be reliably measured and what must be treated cautiously. Before modelling or an accuracy framework is selected, IDIP must define the exact product objective and target variable. The target determines the appropriate features, training strategy, validation method, and meaning of 'accuracy'.</w:t>
      </w:r>
    </w:p>
    <w:p>
      <w:r>
        <w:t>In short: Data Fetching → Standardization → Cleaning → EDA → Objective/Target Definition → Analytical or Predictive Modelling → Validation → Product Output.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IDIP — EDA Documentary | Natural Disaster Intelligence &amp; 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