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</w:p>
    <w:p>
      <w:pPr>
        <w:pStyle w:val="Title"/>
      </w:pPr>
      <w:r>
        <w:rPr>
          <w:rFonts w:cs="Arial Unicode MS" w:eastAsia="Arial Unicode MS"/>
          <w:rtl w:val="0"/>
          <w:lang w:val="en-US"/>
        </w:rPr>
        <w:t xml:space="preserve">A DTC Brand </w:t>
      </w:r>
      <w:r>
        <w:rPr>
          <w:rFonts w:cs="Arial Unicode MS" w:eastAsia="Arial Unicode MS"/>
          <w:rtl w:val="0"/>
          <w:lang w:val="en-US"/>
        </w:rPr>
        <w:t>Case Study</w:t>
      </w:r>
    </w:p>
    <w:p>
      <w:pPr>
        <w:pStyle w:val="Attribution"/>
      </w:pPr>
    </w:p>
    <w:p>
      <w:pPr>
        <w:pStyle w:val="Attribution"/>
      </w:pPr>
    </w:p>
    <w:p>
      <w:pPr>
        <w:pStyle w:val="Attribution"/>
      </w:pPr>
    </w:p>
    <w:p>
      <w:pPr>
        <w:pStyle w:val="Attribution"/>
      </w:pP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Ayush Kumar</w:t>
      </w:r>
    </w:p>
    <w:p>
      <w:pPr>
        <w:pStyle w:val="Attribution"/>
      </w:pPr>
      <w:r>
        <w:rPr>
          <w:rFonts w:cs="Arial Unicode MS" w:eastAsia="Arial Unicode MS"/>
          <w:rtl w:val="0"/>
          <w:lang w:val="en-US"/>
        </w:rPr>
        <w:t>9871123384</w:t>
      </w:r>
    </w:p>
    <w:p>
      <w:pPr>
        <w:pStyle w:val="Attribution"/>
        <w:rPr>
          <w:rStyle w:val="None"/>
          <w:i w:val="1"/>
          <w:iCs w:val="1"/>
          <w:u w:val="single"/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"https://linktr.ee/ayush71"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en-US"/>
        </w:rPr>
        <w:t>Linktree</w:t>
      </w:r>
      <w:r>
        <w:rPr/>
        <w:fldChar w:fldCharType="end" w:fldLock="0"/>
      </w:r>
    </w:p>
    <w:p>
      <w:pPr>
        <w:pStyle w:val="Attribution"/>
      </w:pPr>
    </w:p>
    <w:p>
      <w:pPr>
        <w:pStyle w:val="Attribution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"/>
        <w:jc w:val="left"/>
      </w:pPr>
      <w:r>
        <w:rPr>
          <w:rStyle w:val="None"/>
          <w:rtl w:val="0"/>
          <w:lang w:val="en-US"/>
        </w:rPr>
        <w:t>Data</w:t>
      </w:r>
      <w:r>
        <w:rPr>
          <w:rStyle w:val="None"/>
          <w:rtl w:val="0"/>
          <w:lang w:val="en-US"/>
        </w:rPr>
        <w:t xml:space="preserve"> Analysis:    </w:t>
      </w:r>
      <w:r>
        <w:rPr>
          <w:rStyle w:val="None"/>
          <w:rtl w:val="0"/>
          <w:lang w:val="en-US"/>
        </w:rPr>
        <w:t xml:space="preserve">– 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"https://drive.google.com/file/d/1ZfZmvHO-DMltuRWseyQo2D8tKeOx_gPf/view?usp=sharing"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SQL Script</w:t>
      </w:r>
      <w:r>
        <w:rPr/>
        <w:fldChar w:fldCharType="end" w:fldLock="0"/>
      </w:r>
    </w:p>
    <w:p>
      <w:pPr>
        <w:pStyle w:val="Heading"/>
        <w:jc w:val="left"/>
      </w:pPr>
    </w:p>
    <w:p>
      <w:pPr>
        <w:pStyle w:val="Heading"/>
        <w:jc w:val="left"/>
        <w:rPr>
          <w:rStyle w:val="Non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Problem Statement 1</w:t>
      </w: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 Sales and Profitability Analysis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ind w:left="720"/>
        <w:rPr>
          <w:rStyle w:val="None"/>
          <w:rFonts w:ascii="Graphik" w:cs="Graphik" w:hAnsi="Graphik" w:eastAsia="Graphik"/>
          <w:sz w:val="22"/>
          <w:szCs w:val="22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Identify the top-performing and underperforming categories based on these metrics. Also, suggest reasons for their performance differences</w:t>
      </w:r>
      <w:r>
        <w:rPr>
          <w:rStyle w:val="None"/>
          <w:rFonts w:ascii="Graphik" w:hAnsi="Graphik"/>
          <w:sz w:val="22"/>
          <w:szCs w:val="22"/>
          <w:rtl w:val="0"/>
          <w:lang w:val="en-US"/>
        </w:rPr>
        <w:t>.</w:t>
      </w: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after="100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 on What Happened: </w:t>
      </w:r>
    </w:p>
    <w:p>
      <w:pPr>
        <w:pStyle w:val="Heading"/>
        <w:numPr>
          <w:ilvl w:val="1"/>
          <w:numId w:val="2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Clothing: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Avg Profit Per Order: 57 units, Profit Margin: 39%. </w:t>
      </w:r>
    </w:p>
    <w:p>
      <w:pPr>
        <w:pStyle w:val="Heading"/>
        <w:numPr>
          <w:ilvl w:val="1"/>
          <w:numId w:val="2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Electronics: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Avg Profit Per Order: 204 units, Profit Margin: 38%.</w:t>
      </w:r>
    </w:p>
    <w:p>
      <w:pPr>
        <w:pStyle w:val="Heading"/>
        <w:numPr>
          <w:ilvl w:val="1"/>
          <w:numId w:val="2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Top-Performing: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Electronics (highest average profit per order: 204 units).</w:t>
      </w:r>
    </w:p>
    <w:p>
      <w:pPr>
        <w:pStyle w:val="Heading"/>
        <w:numPr>
          <w:ilvl w:val="1"/>
          <w:numId w:val="2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Underperforming: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Clothing (lowest average profit per order: 57 units, despite highest margin: 39%).</w:t>
      </w: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after="260" w:line="240" w:lineRule="auto"/>
        <w:rPr>
          <w:rStyle w:val="None"/>
          <w:rFonts w:ascii="Graphik Medium" w:cs="Graphik Medium" w:hAnsi="Graphik Medium" w:eastAsia="Graphik Medium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Possible Reasons for Variations in Performance:</w:t>
      </w: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Hypothesis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4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Despite having a slightly lower profit margin (38%) than clothing (39%), electronics' high average profit per order (204 units) indicates higher-ticket items (such as phones and printers) with significant margins.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Clothing's high margin (39%) and low average profit per order (57 units) suggest large volume but poor profitability per unit, perhaps as a result of low-cost items (like stoles).</w:t>
      </w:r>
    </w:p>
    <w:p>
      <w:pPr>
        <w:pStyle w:val="Default"/>
        <w:spacing w:after="0" w:line="240" w:lineRule="auto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80" w:line="240" w:lineRule="auto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New Data Required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To verify the impact of item prices, average order value per category.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To explain the difference between margin and profit, use cost breakdown (e.g., COGS).</w:t>
      </w:r>
    </w:p>
    <w:p>
      <w:pPr>
        <w:pStyle w:val="Default"/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Next Steps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Increase promotion for electronics to take advantage of high-profit orders.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To raise the average profit per order for clothing, raise the price of low-margin items or possibly combine them with electronics.</w:t>
      </w: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Problem Statement</w:t>
      </w: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2: Target Achievement Analysis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ind w:left="720"/>
        <w:rPr>
          <w:rStyle w:val="None"/>
          <w:rFonts w:ascii="Graphik" w:cs="Graphik" w:hAnsi="Graphik" w:eastAsia="Graphik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Analyse the trends to identify months with significant target fluctuations. Suggest strategies for aligning target expectations with actual performance trends.</w:t>
      </w: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 on What Happened: </w:t>
      </w:r>
    </w:p>
    <w:p>
      <w:pPr>
        <w:pStyle w:val="Heading"/>
        <w:numPr>
          <w:ilvl w:val="1"/>
          <w:numId w:val="6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Average Target % Change: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3% across the year</w:t>
      </w:r>
    </w:p>
    <w:p>
      <w:pPr>
        <w:pStyle w:val="Heading"/>
        <w:numPr>
          <w:ilvl w:val="1"/>
          <w:numId w:val="2"/>
        </w:numPr>
        <w:bidi w:val="0"/>
        <w:ind w:right="0"/>
        <w:jc w:val="left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May and March: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Highest Target % Change at 11% (significant vs. average).</w:t>
      </w: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left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after="200" w:line="240" w:lineRule="auto"/>
        <w:jc w:val="both"/>
        <w:rPr>
          <w:rStyle w:val="None"/>
          <w:rFonts w:ascii="Graphik Medium" w:cs="Graphik Medium" w:hAnsi="Graphik Medium" w:eastAsia="Graphik Medium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Possible Reasons for Variations in Performance:</w:t>
      </w: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Hypothesis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May</w:t>
      </w:r>
      <w:r>
        <w:rPr>
          <w:rStyle w:val="None"/>
          <w:rFonts w:ascii="Arial Unicode MS" w:hAnsi="Arial Unicode MS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s 11% jump could reflect post-April sales optimism or seasonal demand (e.g., summer Furniture needs).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External factors (e.g., holidays, promotions) for those months.</w:t>
      </w:r>
    </w:p>
    <w:p>
      <w:pPr>
        <w:pStyle w:val="Default"/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New Data Required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Actual Furniture sales for May and March to assess target realism.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To explain the difference between margin and profit, use cost breakdown (e.g., COGS).</w:t>
      </w:r>
    </w:p>
    <w:p>
      <w:pPr>
        <w:pStyle w:val="Default"/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Next Steps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Set conservative goals based on past sales trends (e.g., 3</w:t>
      </w:r>
      <w:r>
        <w:rPr>
          <w:rStyle w:val="None"/>
          <w:rFonts w:ascii="Graphik" w:hAnsi="Graphik" w:hint="default"/>
          <w:sz w:val="20"/>
          <w:szCs w:val="20"/>
          <w:rtl w:val="0"/>
          <w:lang w:val="en-US"/>
        </w:rPr>
        <w:t>–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5% average increase), accounting for seasonality only when supported by data.</w:t>
      </w: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30"/>
          <w:szCs w:val="3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jc w:val="both"/>
        <w:rPr>
          <w:rStyle w:val="Non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Problem Statement</w:t>
      </w:r>
      <w:r>
        <w:rPr>
          <w:rStyle w:val="None"/>
          <w:outline w:val="0"/>
          <w:color w:val="000000"/>
          <w:sz w:val="22"/>
          <w:szCs w:val="2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3: Regional Performance Insights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ind w:left="720"/>
        <w:rPr>
          <w:rStyle w:val="None"/>
          <w:rFonts w:ascii="Graphik" w:cs="Graphik" w:hAnsi="Graphik" w:eastAsia="Graphik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Highlight any regional disparities in sales or profitability. Suggest regions or cities that should be prioritised for improvement.</w:t>
      </w:r>
    </w:p>
    <w:p>
      <w:pPr>
        <w:pStyle w:val="Heading"/>
        <w:jc w:val="both"/>
        <w:rPr>
          <w:rStyle w:val="None"/>
          <w:outline w:val="0"/>
          <w:color w:val="000000"/>
          <w:sz w:val="22"/>
          <w:szCs w:val="22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Heading"/>
        <w:spacing w:after="160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None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Numbers on What Happened: </w:t>
      </w:r>
    </w:p>
    <w:p>
      <w:pPr>
        <w:pStyle w:val="Heading"/>
        <w:numPr>
          <w:ilvl w:val="1"/>
          <w:numId w:val="7"/>
        </w:numPr>
        <w:bidi w:val="0"/>
        <w:ind w:right="0"/>
        <w:jc w:val="both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Order Count: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Madhya Pradesh &amp; Maharashtra: ~300 orders each; Gujarat: 87 orders; Rajasthan &amp; Delhi: comparatively lower. </w:t>
      </w:r>
    </w:p>
    <w:p>
      <w:pPr>
        <w:pStyle w:val="Heading"/>
        <w:numPr>
          <w:ilvl w:val="1"/>
          <w:numId w:val="2"/>
        </w:numPr>
        <w:bidi w:val="0"/>
        <w:ind w:right="0"/>
        <w:jc w:val="both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Total Sales (Products Sold):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Madhya Pradesh &amp; Maharashtra: ~1,150 units each; others lower.</w:t>
      </w:r>
    </w:p>
    <w:p>
      <w:pPr>
        <w:pStyle w:val="Heading"/>
        <w:numPr>
          <w:ilvl w:val="1"/>
          <w:numId w:val="2"/>
        </w:numPr>
        <w:bidi w:val="0"/>
        <w:ind w:right="0"/>
        <w:jc w:val="both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de-DE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>Avg Profit Per Order:</w:t>
      </w:r>
      <w:r>
        <w:rPr>
          <w:rStyle w:val="None"/>
          <w:rFonts w:ascii="Graphik" w:hAnsi="Graphik"/>
          <w:b w:val="1"/>
          <w:bCs w:val="1"/>
          <w:outline w:val="0"/>
          <w:color w:val="000000"/>
          <w:sz w:val="20"/>
          <w:szCs w:val="20"/>
          <w:u w:color="000000"/>
          <w:rtl w:val="0"/>
          <w:lang w:val="de-DE"/>
          <w14:textFill>
            <w14:solidFill>
              <w14:srgbClr w14:val="000000"/>
            </w14:solidFill>
          </w14:textFill>
        </w:rPr>
        <w:t xml:space="preserve">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Haryana: 152 units; Kerala: 133 units; Madhya Pradesh &amp; Maharashtra: comparatively lower.</w:t>
      </w:r>
    </w:p>
    <w:p>
      <w:pPr>
        <w:pStyle w:val="Heading"/>
        <w:numPr>
          <w:ilvl w:val="1"/>
          <w:numId w:val="2"/>
        </w:numPr>
        <w:bidi w:val="0"/>
        <w:ind w:right="0"/>
        <w:jc w:val="both"/>
        <w:rPr>
          <w:rFonts w:ascii="Graphik" w:hAnsi="Graphik"/>
          <w:b w:val="1"/>
          <w:bCs w:val="1"/>
          <w:outline w:val="0"/>
          <w:color w:val="000000"/>
          <w:sz w:val="20"/>
          <w:szCs w:val="2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Style w:val="None"/>
          <w:rFonts w:ascii="Graphik Semibold" w:hAnsi="Graphik Semibold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Disparity: </w:t>
      </w:r>
      <w:r>
        <w:rPr>
          <w:rStyle w:val="None"/>
          <w:rFonts w:ascii="Graphik" w:hAnsi="Graphik"/>
          <w:b w:val="0"/>
          <w:bCs w:val="0"/>
          <w:outline w:val="0"/>
          <w:color w:val="000000"/>
          <w:sz w:val="20"/>
          <w:szCs w:val="2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High-order states (Madhya Pradesh, Maharashtra) still lag in profit vs. Haryana, Kerala.</w:t>
      </w:r>
    </w:p>
    <w:p>
      <w:pPr>
        <w:pStyle w:val="Heading"/>
        <w:jc w:val="both"/>
        <w:rPr>
          <w:rStyle w:val="None"/>
          <w:rFonts w:ascii="Graphik" w:cs="Graphik" w:hAnsi="Graphik" w:eastAsia="Graphik"/>
          <w:b w:val="1"/>
          <w:bCs w:val="1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Default"/>
        <w:spacing w:after="200" w:line="240" w:lineRule="auto"/>
        <w:jc w:val="both"/>
        <w:rPr>
          <w:rStyle w:val="None"/>
          <w:rFonts w:ascii="Graphik Medium" w:cs="Graphik Medium" w:hAnsi="Graphik Medium" w:eastAsia="Graphik Medium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Possible Reasons for Variations in Performance:</w:t>
      </w:r>
    </w:p>
    <w:p>
      <w:pPr>
        <w:pStyle w:val="Default"/>
        <w:spacing w:after="10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Hypothesis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The higher sales (1,150 units) and poorer profitability of Madhya Pradesh and Maharashtra point to either a concentration on low-margin products (like furniture) or high operating expenses.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Despite fewer orders, Haryana and Kerala's high average profit (152,133 units) suggests either premium sales (like electronics) or effective logistics.</w:t>
      </w:r>
    </w:p>
    <w:p>
      <w:pPr>
        <w:pStyle w:val="Default"/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10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New Data Required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Logistics expenses (like shipping) to evaluate the effect on profitability.</w:t>
      </w:r>
    </w:p>
    <w:p>
      <w:pPr>
        <w:pStyle w:val="Default"/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spacing w:after="8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 Medium" w:hAnsi="Graphik Medium"/>
          <w:sz w:val="20"/>
          <w:szCs w:val="20"/>
          <w:rtl w:val="0"/>
          <w:lang w:val="en-US"/>
        </w:rPr>
        <w:t>Next Steps</w:t>
      </w:r>
      <w:r>
        <w:rPr>
          <w:rStyle w:val="None"/>
          <w:rFonts w:ascii="Graphik" w:hAnsi="Graphik"/>
          <w:sz w:val="20"/>
          <w:szCs w:val="20"/>
          <w:rtl w:val="0"/>
          <w:lang w:val="en-US"/>
        </w:rPr>
        <w:t>:</w:t>
      </w:r>
    </w:p>
    <w:p>
      <w:pPr>
        <w:pStyle w:val="Default"/>
        <w:numPr>
          <w:ilvl w:val="0"/>
          <w:numId w:val="5"/>
        </w:numPr>
        <w:bidi w:val="0"/>
        <w:spacing w:after="0" w:line="240" w:lineRule="auto"/>
        <w:ind w:right="0"/>
        <w:jc w:val="both"/>
        <w:rPr>
          <w:rFonts w:ascii="Graphik" w:hAnsi="Graphik"/>
          <w:sz w:val="20"/>
          <w:szCs w:val="20"/>
          <w:rtl w:val="0"/>
          <w:lang w:val="en-US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Improve a top priority. In Madhya Pradesh and Maharashtra (such as Indore and Mumbai), change the sales mix to include more profitable electronics and cut expenses.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 xml:space="preserve">Hoping you find the analysis and business acumen noteworthy. Please feel free to reach out to discuss them further.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jc w:val="both"/>
        <w:rPr>
          <w:rStyle w:val="None"/>
          <w:rFonts w:ascii="Graphik" w:cs="Graphik" w:hAnsi="Graphik" w:eastAsia="Graphik"/>
          <w:sz w:val="20"/>
          <w:szCs w:val="20"/>
        </w:rPr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I look forward to your feedback.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after="0" w:line="240" w:lineRule="auto"/>
        <w:rPr>
          <w:rStyle w:val="None"/>
          <w:rFonts w:ascii="Graphik" w:cs="Graphik" w:hAnsi="Graphik" w:eastAsia="Graphik"/>
          <w:sz w:val="20"/>
          <w:szCs w:val="2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60" w:after="0" w:line="240" w:lineRule="auto"/>
        <w:rPr>
          <w:rStyle w:val="None"/>
          <w:rFonts w:ascii="Graphik Semibold" w:cs="Graphik Semibold" w:hAnsi="Graphik Semibold" w:eastAsia="Graphik Semibold"/>
          <w:sz w:val="20"/>
          <w:szCs w:val="20"/>
        </w:rPr>
      </w:pPr>
      <w:r>
        <w:rPr>
          <w:rStyle w:val="None"/>
          <w:rFonts w:ascii="Graphik Semibold" w:hAnsi="Graphik Semibold"/>
          <w:sz w:val="20"/>
          <w:szCs w:val="20"/>
          <w:rtl w:val="0"/>
          <w:lang w:val="en-US"/>
        </w:rPr>
        <w:t>Ayush Kumar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60" w:after="0" w:line="240" w:lineRule="auto"/>
        <w:rPr>
          <w:rStyle w:val="None"/>
          <w:rFonts w:ascii="Graphik" w:cs="Graphik" w:hAnsi="Graphik" w:eastAsia="Graphik"/>
          <w:i w:val="1"/>
          <w:iCs w:val="1"/>
          <w:sz w:val="20"/>
          <w:szCs w:val="20"/>
        </w:rPr>
      </w:pPr>
      <w:r>
        <w:rPr>
          <w:rStyle w:val="None"/>
          <w:rFonts w:ascii="Graphik" w:hAnsi="Graphik"/>
          <w:i w:val="1"/>
          <w:iCs w:val="1"/>
          <w:sz w:val="20"/>
          <w:szCs w:val="20"/>
          <w:rtl w:val="0"/>
          <w:lang w:val="en-US"/>
        </w:rPr>
        <w:t>9871123384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spacing w:before="60" w:after="0" w:line="240" w:lineRule="auto"/>
      </w:pPr>
      <w:r>
        <w:rPr>
          <w:rStyle w:val="None"/>
          <w:rFonts w:ascii="Graphik" w:hAnsi="Graphik"/>
          <w:sz w:val="20"/>
          <w:szCs w:val="20"/>
          <w:rtl w:val="0"/>
          <w:lang w:val="en-US"/>
        </w:rPr>
        <w:t>ayush11092003@gmail.com</w:t>
      </w:r>
    </w:p>
    <w:sectPr>
      <w:headerReference w:type="default" r:id="rId4"/>
      <w:footerReference w:type="default" r:id="rId5"/>
      <w:pgSz w:w="11900" w:h="16840" w:orient="portrait"/>
      <w:pgMar w:top="1440" w:right="1600" w:bottom="1440" w:left="16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Graphik Medium">
    <w:charset w:val="00"/>
    <w:family w:val="roman"/>
    <w:pitch w:val="default"/>
  </w:font>
  <w:font w:name="Canela Deck Bold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  <w:font w:name="Canela Text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350"/>
        <w:tab w:val="right" w:pos="8680"/>
      </w:tabs>
    </w:pPr>
    <w:r>
      <w:rPr>
        <w:rtl w:val="0"/>
        <w:lang w:val="en-US"/>
      </w:rPr>
      <w:t>Case study</w:t>
    </w:r>
    <w:r>
      <w:rPr>
        <w:rtl w:val="0"/>
        <w:lang w:val="en-US"/>
      </w:rPr>
      <w:t xml:space="preserve">– </w:t>
    </w:r>
    <w:r>
      <w:rPr>
        <w:rtl w:val="0"/>
        <w:lang w:val="en-US"/>
      </w:rPr>
      <w:t>Ayush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41" w:hanging="3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2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5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809" w:hanging="409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283" w:hanging="283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0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4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8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2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6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0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4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182" w:hanging="262"/>
      </w:pPr>
      <w:rPr>
        <w:rFonts w:ascii="Graphik" w:cs="Graphik" w:hAnsi="Graphik" w:eastAsia="Graphik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35"/>
        <w:szCs w:val="35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26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0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4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98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2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46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0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4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182" w:hanging="262"/>
        </w:pPr>
        <w:rPr>
          <w:rFonts w:ascii="Graphik" w:cs="Graphik" w:hAnsi="Graphik" w:eastAsia="Graphik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sz w:val="35"/>
          <w:szCs w:val="35"/>
          <w:highlight w:val="none"/>
          <w:vertAlign w:val="baseline"/>
        </w:rPr>
      </w:lvl>
    </w:lvlOverride>
  </w:num>
  <w:num w:numId="6">
    <w:abstractNumId w:val="0"/>
    <w:lvlOverride w:ilvl="1">
      <w:startOverride w:val="1"/>
    </w:lvlOverride>
  </w:num>
  <w:num w:numId="7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Graphik Medium" w:cs="Arial Unicode MS" w:hAnsi="Graphik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16" w:lineRule="auto"/>
      <w:ind w:left="0" w:right="0" w:firstLine="0"/>
      <w:jc w:val="center"/>
      <w:outlineLvl w:val="9"/>
    </w:pPr>
    <w:rPr>
      <w:rFonts w:ascii="Canela Deck Bold" w:cs="Canela Deck Bold" w:hAnsi="Canela Deck Bold" w:eastAsia="Canela Deck Bold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-5"/>
      <w:kern w:val="0"/>
      <w:position w:val="0"/>
      <w:sz w:val="56"/>
      <w:szCs w:val="56"/>
      <w:u w:val="none" w:color="000094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94"/>
        </w14:solidFill>
      </w14:textFill>
    </w:rPr>
  </w:style>
  <w:style w:type="paragraph" w:styleId="Attribution">
    <w:name w:val="Attribution"/>
    <w:next w:val="Attributio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center"/>
      <w:outlineLvl w:val="0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Graphik" w:cs="Graphik" w:hAnsi="Graphik" w:eastAsia="Graphik"/>
      <w:i w:val="1"/>
      <w:iCs w:val="1"/>
      <w:u w:val="singl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center"/>
      <w:outlineLvl w:val="0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94"/>
      <w:spacing w:val="0"/>
      <w:kern w:val="0"/>
      <w:position w:val="0"/>
      <w:sz w:val="36"/>
      <w:szCs w:val="36"/>
      <w:u w:val="none" w:color="000094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94"/>
        </w14:solidFill>
      </w14:textFill>
    </w:rPr>
  </w:style>
  <w:style w:type="character" w:styleId="Hyperlink.1">
    <w:name w:val="Hyperlink.1"/>
    <w:basedOn w:val="None"/>
    <w:next w:val="Hyperlink.1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Academic_Report">
  <a:themeElements>
    <a:clrScheme name="23_Academic_Report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Academic_Report">
      <a:majorFont>
        <a:latin typeface="Canela Deck Bold"/>
        <a:ea typeface="Canela Deck Bold"/>
        <a:cs typeface="Canela Deck Bold"/>
      </a:majorFont>
      <a:minorFont>
        <a:latin typeface="Graphik"/>
        <a:ea typeface="Graphik"/>
        <a:cs typeface="Graphik"/>
      </a:minorFont>
    </a:fontScheme>
    <a:fmtScheme name="23_Academic_Repor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