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7850"/>
          <w:sz w:val="48"/>
        </w:rPr>
        <w:t>Darukaa.Earth — AI Biodiversity Intelligence</w:t>
      </w:r>
    </w:p>
    <w:p>
      <w:pPr>
        <w:jc w:val="center"/>
      </w:pPr>
      <w:r>
        <w:rPr>
          <w:rFonts w:ascii="Calibri" w:hAnsi="Calibri"/>
          <w:i/>
          <w:color w:val="646E78"/>
          <w:sz w:val="24"/>
        </w:rPr>
        <w:t>Submission &amp; System Documentation | AI Environmental Scientist</w:t>
      </w:r>
    </w:p>
    <w:p/>
    <w:p>
      <w:pPr>
        <w:pStyle w:val="Heading1"/>
      </w:pPr>
      <w:r>
        <w:rPr>
          <w:color w:val="107850"/>
        </w:rPr>
        <w:t>1. Project Submission &amp; Access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GitHub Repository URL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https://github.com/Ayushlanke/Darukaa-AI</w:t>
            </w:r>
          </w:p>
        </w:tc>
      </w:tr>
      <w:tr>
        <w:tc>
          <w:tcPr>
            <w:tcW w:type="dxa" w:w="345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Live Demo URL (Production)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https://darukaa-y3yp.onrender.com/</w:t>
            </w:r>
          </w:p>
        </w:tc>
      </w:tr>
      <w:tr>
        <w:tc>
          <w:tcPr>
            <w:tcW w:type="dxa" w:w="345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Target LLM Provider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NVIDIA Nemotron 3 Ultra 550B via OpenRouter (nvidia/nemotron-3-ultra-550b-a55b)</w:t>
            </w:r>
          </w:p>
        </w:tc>
      </w:tr>
      <w:tr>
        <w:tc>
          <w:tcPr>
            <w:tcW w:type="dxa" w:w="345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Verification Test Suite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49 / 49 Pytest Tests Passing (100% test coverage over scenarios &amp; logic)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7850"/>
                <w:sz w:val="24"/>
              </w:rPr>
              <w:t>🌐 Live Demo</w:t>
              <w:br/>
            </w:r>
            <w:r>
              <w:rPr>
                <w:rFonts w:ascii="Calibri" w:hAnsi="Calibri"/>
              </w:rPr>
              <w:t xml:space="preserve">🔗 </w:t>
            </w:r>
            <w:r>
              <w:rPr>
                <w:rFonts w:ascii="Calibri" w:hAnsi="Calibri"/>
                <w:b/>
                <w:color w:val="107850"/>
                <w:sz w:val="21"/>
                <w:u w:val="single"/>
              </w:rPr>
              <w:t>Try Darukaa Live: https://darukaa-y3yp.onrender.com/</w:t>
              <w:br/>
              <w:br/>
            </w:r>
            <w:r>
              <w:rPr>
                <w:rFonts w:ascii="Calibri" w:hAnsi="Calibri"/>
                <w:sz w:val="20"/>
              </w:rPr>
              <w:t>The latest deployed version of Darukaa is available for live testing:</w:t>
              <w:br/>
            </w:r>
            <w:r>
              <w:rPr>
                <w:rFonts w:ascii="Calibri" w:hAnsi="Calibri"/>
                <w:b/>
                <w:color w:val="107850"/>
                <w:sz w:val="20"/>
              </w:rPr>
              <w:t>-&gt; https://darukaa-y3yp.onrender.com/</w:t>
              <w:br/>
              <w:br/>
            </w:r>
            <w:r>
              <w:rPr>
                <w:rFonts w:ascii="Calibri" w:hAnsi="Calibri"/>
                <w:i/>
                <w:color w:val="646E78"/>
                <w:sz w:val="18"/>
              </w:rPr>
              <w:t>Note: The application is hosted on Render's free tier, which may automatically put the service to sleep after a period of inactivity. If the application has been inactive, the initial load may take a little longer while the server starts back up. Subsequent requests should load normally.</w:t>
            </w:r>
          </w:p>
        </w:tc>
      </w:tr>
    </w:tbl>
    <w:p/>
    <w:p>
      <w:pPr>
        <w:pStyle w:val="Heading1"/>
      </w:pPr>
      <w:r>
        <w:rPr>
          <w:color w:val="107850"/>
        </w:rPr>
        <w:t>2. Architecture &amp; Reasoning Engine</w:t>
      </w:r>
    </w:p>
    <w:p>
      <w:r>
        <w:t>Darukaa.Earth is engineered as an AI Environmental Scientist rather than a generic prompt wrapper. The architecture decouples conversational input/output from scientific reasoning, guaranteeing zero hallucinations in intervention selection, evidence attribution, and ecological thresholds.</w:t>
      </w:r>
    </w:p>
    <w:p>
      <w:pPr>
        <w:pStyle w:val="ListBullet"/>
      </w:pPr>
      <w:r>
        <w:rPr>
          <w:b/>
        </w:rPr>
        <w:t xml:space="preserve">Query Understanding (LLM Extraction): </w:t>
      </w:r>
      <w:r>
        <w:t>When natural language text is provided via /chat, NVIDIA Nemotron (via OpenRouter function-calling) extracts stated measurements into structured JSON fields. Unmentioned fields are never hallucinated or filled in with guesses.</w:t>
      </w:r>
    </w:p>
    <w:p>
      <w:pPr>
        <w:pStyle w:val="ListBullet"/>
      </w:pPr>
      <w:r>
        <w:rPr>
          <w:b/>
        </w:rPr>
        <w:t xml:space="preserve">Conversation Controller &amp; Memory: </w:t>
      </w:r>
      <w:r>
        <w:t>Evaluates measurement completeness across 6 ecological domains (soil, climate, land use, water, human impact, biodiversity). If fewer than 2 domains are populated, it asks targeted diagnostic clarifying questions instead of guessing. Context is persisted across turns in SQLite.</w:t>
      </w:r>
    </w:p>
    <w:p>
      <w:pPr>
        <w:pStyle w:val="ListBullet"/>
      </w:pPr>
      <w:r>
        <w:rPr>
          <w:b/>
        </w:rPr>
        <w:t xml:space="preserve">Multi-Metric Reasoning Engine: </w:t>
      </w:r>
      <w:r>
        <w:t>Computes ecological deviations against peer-reviewed thresholds (e.g. soil organic carbon &lt; 0.6% indicates severe degradation; aridity index &lt; 0.2 indicates hyper-arid conditions).</w:t>
      </w:r>
    </w:p>
    <w:p>
      <w:pPr>
        <w:pStyle w:val="ListBullet"/>
      </w:pPr>
      <w:r>
        <w:rPr>
          <w:b/>
        </w:rPr>
        <w:t xml:space="preserve">Ecological Interaction Matrix: </w:t>
      </w:r>
      <w:r>
        <w:t>Evaluates compounding dynamics across variables (e.g. aridity compounding soil organic carbon degradation under monoculture). Ensures non-obvious, multi-variable interventions are prioritized over generic single-variable recommendations.</w:t>
      </w:r>
    </w:p>
    <w:p>
      <w:pPr>
        <w:pStyle w:val="ListBullet"/>
      </w:pPr>
      <w:r>
        <w:rPr>
          <w:b/>
        </w:rPr>
        <w:t xml:space="preserve">Hybrid RAG Knowledge Layer: </w:t>
      </w:r>
      <w:r>
        <w:t>Combines dense vector retrieval (ChromaDB) and sparse lexical retrieval (BM25) with Reciprocal Rank Fusion (RRF). Seeded directly from verified research tables in docs/research.md.</w:t>
      </w:r>
    </w:p>
    <w:p>
      <w:pPr>
        <w:pStyle w:val="ListBullet"/>
      </w:pPr>
      <w:r>
        <w:rPr>
          <w:b/>
        </w:rPr>
        <w:t xml:space="preserve">Conversational Narration &amp; Faithfulness Checker: </w:t>
      </w:r>
      <w:r>
        <w:t>NVIDIA Nemotron generates a conversational narration of the recommendation. Before delivery, an automated faithfulness algorithm verifies that every stated number and claim matches ground-truth source evidence, dropping unsupported hallucinations.</w:t>
      </w:r>
    </w:p>
    <w:p/>
    <w:p>
      <w:pPr>
        <w:pStyle w:val="Heading1"/>
      </w:pPr>
      <w:r>
        <w:rPr>
          <w:color w:val="107850"/>
        </w:rPr>
        <w:t>3. Database &amp; Knowledge Base Schema</w:t>
      </w:r>
    </w:p>
    <w:p>
      <w:r>
        <w:t>The system persists relational data in SQLite (darukaa.db) and dense vector embeddings in ChromaDB: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C231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Table / Store</w:t>
            </w:r>
          </w:p>
        </w:tc>
        <w:tc>
          <w:tcPr>
            <w:tcW w:type="dxa" w:w="3168"/>
            <w:shd w:fill="0C231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Key Fields / Schema</w:t>
            </w:r>
          </w:p>
        </w:tc>
        <w:tc>
          <w:tcPr>
            <w:tcW w:type="dxa" w:w="4464"/>
            <w:shd w:fill="0C231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Scientific Purpose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interventions (SQLite)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id, name, domains, conditions (JSON), what, why, effect_size, time_horizon, evidence_type, source_name, source_url, limitations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Stores 12 peer-reviewed interventions across soil, land use, water, and biodiversity, transcribed from research papers.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sessions (SQLite)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session_id (TEXT PRIMARY KEY), profile_json (TEXT)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Persists accumulated multi-turn EnvironmentalProfile data per conversation so context survives across requests.</w:t>
            </w:r>
          </w:p>
        </w:tc>
      </w:tr>
    </w:tbl>
    <w:p/>
    <w:p>
      <w:pPr>
        <w:pStyle w:val="Heading1"/>
      </w:pPr>
      <w:r>
        <w:rPr>
          <w:color w:val="107850"/>
        </w:rPr>
        <w:t>4. Local Setup &amp; How to Run</w:t>
      </w:r>
    </w:p>
    <w:p>
      <w:r>
        <w:t>The project is fully runnable locally with Python 3.10+:</w:t>
      </w:r>
    </w:p>
    <w:p>
      <w:r>
        <w:rPr>
          <w:rFonts w:ascii="Consolas" w:hAnsi="Consolas"/>
          <w:color w:val="28323C"/>
          <w:sz w:val="17"/>
        </w:rPr>
        <w:t>1. Create and activate virtual environment:</w:t>
        <w:br/>
        <w:t xml:space="preserve">   python3 -m venv .venv</w:t>
        <w:br/>
        <w:t xml:space="preserve">   source .venv/bin/activate    # On Windows: .venv\Scripts\activate</w:t>
        <w:br/>
        <w:br/>
        <w:t>2. Install dependencies:</w:t>
        <w:br/>
        <w:t xml:space="preserve">   pip install -r requirements.txt</w:t>
        <w:br/>
        <w:br/>
        <w:t>3. Run 49/49 Pytest Test Suite (100% offline, zero external calls required):</w:t>
        <w:br/>
        <w:t xml:space="preserve">   PYTHONPATH=. pytest -v</w:t>
        <w:br/>
        <w:br/>
        <w:t>4. Configure .env API Key:</w:t>
        <w:br/>
        <w:t xml:space="preserve">   cp .env.example .env</w:t>
        <w:br/>
        <w:t xml:space="preserve">   Add: OPENROUTER_API_KEY=sk-or-v1-...</w:t>
        <w:br/>
        <w:t xml:space="preserve">   Model: OPENROUTER_MODEL=nvidia/nemotron-3-ultra-550b-a55b:free</w:t>
        <w:br/>
        <w:br/>
        <w:t>5. Launch Web Service:</w:t>
        <w:br/>
        <w:t xml:space="preserve">   uvicorn darukaa.api.main:app --reload</w:t>
        <w:br/>
        <w:t xml:space="preserve">   Web UI: http://127.0.0.1:8000</w:t>
        <w:br/>
        <w:t xml:space="preserve">   OpenAPI Swagger Docs: http://127.0.0.1:8000/docs</w:t>
      </w:r>
    </w:p>
    <w:p>
      <w:pPr>
        <w:pStyle w:val="Heading2"/>
      </w:pPr>
      <w:r>
        <w:rPr>
          <w:color w:val="28323C"/>
        </w:rPr>
        <w:t>Interaction Interfaces Available</w:t>
      </w:r>
    </w:p>
    <w:p>
      <w:r>
        <w:t>• Production Cloud Deployment (https://darukaa-y3yp.onrender.com/): Live hosted deployment on Render with interactive ChatGPT-style UI and complete OpenAPI Swagger documentation at /docs.</w:t>
        <w:br/>
        <w:t>• Local ChatGPT-Style Web UI (http://127.0.0.1:8000): Features a full consultation sidebar, consultation history, in-stream typing thinking animation, 1-click challenge prompt chips, and suggested follow-up questions.</w:t>
        <w:br/>
        <w:t>• Interactive Swagger API (http://127.0.0.1:8000/docs or https://darukaa-y3yp.onrender.com/docs): Pre-populated request schemas for POST /chat and POST /profile.</w:t>
        <w:br/>
        <w:t>• Terminal Interactive CLI: Run `python -m darukaa.api.cli` for interactive command-line consultation loops.</w:t>
      </w:r>
    </w:p>
    <w:p/>
    <w:p>
      <w:pPr>
        <w:pStyle w:val="Heading1"/>
      </w:pPr>
      <w:r>
        <w:rPr>
          <w:color w:val="107850"/>
        </w:rPr>
        <w:t>5. CI/CD Implementation</w:t>
      </w:r>
    </w:p>
    <w:p>
      <w:r>
        <w:t>A continuous integration workflow is configured at .github/workflows/ci.yml. On every commit and pull request to main/master, GitHub Actions automatically provisions a clean Ubuntu environment, installs dependencies, and executes the complete 49-test verification suite (unit tests, RAG retrieval tests, multi-turn conversation memory tests, interaction matrix calculations, and all 11 M8 benchmark evaluation scenarios).</w:t>
      </w:r>
    </w:p>
    <w:p/>
    <w:p>
      <w:pPr>
        <w:pStyle w:val="Heading1"/>
      </w:pPr>
      <w:r>
        <w:rPr>
          <w:color w:val="107850"/>
        </w:rPr>
        <w:t>6. Benchmark Verification: Challenge Use Case</w:t>
      </w:r>
    </w:p>
    <w:p>
      <w:r>
        <w:t>The exact challenge benchmark scenario was verified end-to-end: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Input Conditions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Soil organic carbon: 0.3%, Rainfall: Low, Crop: Monoculture wheat, Region: Semi-arid</w:t>
            </w:r>
          </w:p>
        </w:tc>
      </w:tr>
      <w:tr>
        <w:tc>
          <w:tcPr>
            <w:tcW w:type="dxa" w:w="288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Compounding Interaction Identified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Aridity compounds soil degradation (Berdugo et al., research.md §1.3). Severity is dynamically escalated over single-variable calculations.</w:t>
            </w:r>
          </w:p>
        </w:tc>
      </w:tr>
      <w:tr>
        <w:tc>
          <w:tcPr>
            <w:tcW w:type="dxa" w:w="288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Recommended Intervention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Introduce temporary wheat-vetch intercropping in place of wheat monoculture.</w:t>
            </w:r>
          </w:p>
        </w:tc>
      </w:tr>
      <w:tr>
        <w:tc>
          <w:tcPr>
            <w:tcW w:type="dxa" w:w="288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Evidence &amp; Peer-Reviewed Sources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Plant and Soil (2023) trial (showing 37% microbial biomass carbon increase within 9 weeks); FAO Global Symposium on SOC; IPBES Land Degradation Assessment; SOFO 2022. Explicitly notes single-trial boundary limitations.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