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i w:val="0"/>
          <w:sz w:val="36"/>
        </w:rPr>
        <w:t>PROJECT LOG BOOK</w:t>
      </w:r>
    </w:p>
    <w:p>
      <w:pPr>
        <w:spacing w:before="0" w:after="120" w:line="276" w:lineRule="auto"/>
        <w:jc w:val="center"/>
      </w:pPr>
      <w:r>
        <w:rPr>
          <w:rFonts w:ascii="Times New Roman" w:hAnsi="Times New Roman"/>
          <w:b/>
          <w:i w:val="0"/>
          <w:sz w:val="26"/>
        </w:rPr>
        <w:t>DEPARTMENT OF COMPUTER ENGINEERING</w:t>
      </w:r>
    </w:p>
    <w:p>
      <w:pPr>
        <w:spacing w:before="0" w:after="80" w:line="276" w:lineRule="auto"/>
        <w:jc w:val="center"/>
      </w:pPr>
      <w:r>
        <w:rPr>
          <w:rFonts w:ascii="Times New Roman" w:hAnsi="Times New Roman"/>
          <w:b/>
          <w:i w:val="0"/>
          <w:sz w:val="28"/>
        </w:rPr>
        <w:t>SIES GRADUATE SCHOOL OF TECHNOLOGY (AUTONOMOUS)</w:t>
      </w:r>
    </w:p>
    <w:p>
      <w:pPr>
        <w:spacing w:before="0" w:after="80" w:line="276" w:lineRule="auto"/>
        <w:jc w:val="center"/>
      </w:pPr>
      <w:r>
        <w:rPr>
          <w:rFonts w:ascii="Times New Roman" w:hAnsi="Times New Roman"/>
          <w:b w:val="0"/>
          <w:i/>
          <w:sz w:val="22"/>
        </w:rPr>
        <w:t>Affiliated to University of Mumbai</w:t>
      </w:r>
    </w:p>
    <w:p>
      <w:pPr>
        <w:spacing w:before="0" w:after="360" w:line="276" w:lineRule="auto"/>
        <w:jc w:val="center"/>
      </w:pPr>
      <w:r>
        <w:rPr>
          <w:rFonts w:ascii="Times New Roman" w:hAnsi="Times New Roman"/>
          <w:b w:val="0"/>
          <w:i w:val="0"/>
          <w:sz w:val="22"/>
        </w:rPr>
        <w:t>Nerul, Navi Mumbai – 400 706</w:t>
      </w:r>
    </w:p>
    <w:p>
      <w:pPr>
        <w:spacing w:before="0" w:after="80" w:line="276" w:lineRule="auto"/>
        <w:jc w:val="center"/>
      </w:pPr>
      <w:r>
        <w:rPr>
          <w:rFonts w:ascii="Times New Roman" w:hAnsi="Times New Roman"/>
          <w:b/>
          <w:i w:val="0"/>
          <w:sz w:val="24"/>
        </w:rPr>
        <w:t>PROJECT TITLE</w:t>
      </w:r>
    </w:p>
    <w:p>
      <w:pPr>
        <w:spacing w:before="0" w:after="360" w:line="276" w:lineRule="auto"/>
        <w:jc w:val="center"/>
      </w:pPr>
      <w:r>
        <w:rPr>
          <w:rFonts w:ascii="Times New Roman" w:hAnsi="Times New Roman"/>
          <w:b/>
          <w:i w:val="0"/>
          <w:sz w:val="26"/>
        </w:rPr>
        <w:t>BC-FL-SRV: Verifiable Admission Decisions for Privacy-Preserving Federated Learning</w:t>
      </w:r>
    </w:p>
    <w:p>
      <w:pPr>
        <w:spacing w:before="0" w:after="120" w:line="276" w:lineRule="auto"/>
        <w:jc w:val="center"/>
      </w:pPr>
      <w:r>
        <w:rPr>
          <w:rFonts w:ascii="Times New Roman" w:hAnsi="Times New Roman"/>
          <w:b/>
          <w:i w:val="0"/>
          <w:sz w:val="24"/>
        </w:rPr>
        <w:t>Academic Year: 2026–27 (Semester VII)</w:t>
      </w:r>
    </w:p>
    <w:p>
      <w:pPr>
        <w:spacing w:before="0" w:after="480" w:line="276" w:lineRule="auto"/>
        <w:jc w:val="center"/>
      </w:pPr>
      <w:r>
        <w:rPr>
          <w:rFonts w:ascii="Times New Roman" w:hAnsi="Times New Roman"/>
          <w:b w:val="0"/>
          <w:i/>
          <w:sz w:val="22"/>
        </w:rPr>
        <w:t>Project Duration: 1 August 2026 to 5 October 2026</w:t>
      </w:r>
    </w:p>
    <w:p>
      <w:pPr>
        <w:spacing w:before="0" w:after="80" w:line="276" w:lineRule="auto"/>
        <w:jc w:val="center"/>
      </w:pPr>
      <w:r>
        <w:rPr>
          <w:rFonts w:ascii="Times New Roman" w:hAnsi="Times New Roman"/>
          <w:b/>
          <w:i w:val="0"/>
          <w:sz w:val="24"/>
        </w:rPr>
        <w:t>PROJECT GUIDE</w:t>
      </w:r>
    </w:p>
    <w:p>
      <w:pPr>
        <w:spacing w:before="0" w:after="480" w:line="276" w:lineRule="auto"/>
        <w:jc w:val="center"/>
      </w:pPr>
      <w:r>
        <w:rPr>
          <w:rFonts w:ascii="Times New Roman" w:hAnsi="Times New Roman"/>
          <w:b w:val="0"/>
          <w:i w:val="0"/>
          <w:sz w:val="24"/>
        </w:rPr>
        <w:t>Prof. ___________________________</w:t>
      </w:r>
    </w:p>
    <w:p>
      <w:pPr>
        <w:spacing w:before="0" w:after="160" w:line="276" w:lineRule="auto"/>
        <w:jc w:val="center"/>
      </w:pPr>
      <w:r>
        <w:rPr>
          <w:rFonts w:ascii="Times New Roman" w:hAnsi="Times New Roman"/>
          <w:b/>
          <w:i w:val="0"/>
          <w:sz w:val="24"/>
        </w:rPr>
        <w:t>PROJECT GROUP MEMBERS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2"/>
              </w:rPr>
              <w:t>Sr. No.</w:t>
            </w:r>
          </w:p>
        </w:tc>
        <w:tc>
          <w:tcPr>
            <w:tcW w:type="dxa" w:w="3010"/>
          </w:tcPr>
          <w:p>
            <w:pPr>
              <w:jc w:val="center"/>
            </w:pPr>
            <w:r>
              <w:rPr>
                <w:rFonts w:ascii="Times New Roman" w:hAnsi="Times New Roman"/>
                <w:b/>
                <w:i w:val="0"/>
                <w:sz w:val="22"/>
              </w:rPr>
              <w:t>Name of Student</w:t>
            </w:r>
          </w:p>
        </w:tc>
        <w:tc>
          <w:tcPr>
            <w:tcW w:type="dxa" w:w="3010"/>
          </w:tcPr>
          <w:p>
            <w:pPr>
              <w:jc w:val="center"/>
            </w:pPr>
            <w:r>
              <w:rPr>
                <w:rFonts w:ascii="Times New Roman" w:hAnsi="Times New Roman"/>
                <w:b/>
                <w:i w:val="0"/>
                <w:sz w:val="22"/>
              </w:rPr>
              <w:t>Roll Number</w:t>
            </w:r>
          </w:p>
        </w:tc>
      </w:tr>
      <w:tr>
        <w:tc>
          <w:tcPr>
            <w:tcW w:type="dxa" w:w="3010"/>
          </w:tcPr>
          <w:p>
            <w:pPr>
              <w:jc w:val="center"/>
            </w:pPr>
            <w:r>
              <w:rPr>
                <w:rFonts w:ascii="Times New Roman" w:hAnsi="Times New Roman"/>
                <w:b w:val="0"/>
                <w:i w:val="0"/>
                <w:sz w:val="22"/>
              </w:rPr>
              <w:t>1</w:t>
            </w:r>
          </w:p>
        </w:tc>
        <w:tc>
          <w:tcPr>
            <w:tcW w:type="dxa" w:w="3010"/>
          </w:tcPr>
          <w:p>
            <w:pPr>
              <w:jc w:val="left"/>
            </w:pPr>
            <w:r>
              <w:rPr>
                <w:rFonts w:ascii="Times New Roman" w:hAnsi="Times New Roman"/>
                <w:b w:val="0"/>
                <w:i w:val="0"/>
                <w:sz w:val="22"/>
              </w:rPr>
              <w:t>Ayush Lanke</w:t>
            </w:r>
          </w:p>
        </w:tc>
        <w:tc>
          <w:tcPr>
            <w:tcW w:type="dxa" w:w="3010"/>
          </w:tcPr>
          <w:p>
            <w:pPr>
              <w:jc w:val="center"/>
            </w:pPr>
            <w:r>
              <w:rPr>
                <w:rFonts w:ascii="Times New Roman" w:hAnsi="Times New Roman"/>
                <w:b w:val="0"/>
                <w:i w:val="0"/>
                <w:sz w:val="22"/>
              </w:rPr>
              <w:t>123A7004</w:t>
            </w:r>
          </w:p>
        </w:tc>
      </w:tr>
      <w:tr>
        <w:tc>
          <w:tcPr>
            <w:tcW w:type="dxa" w:w="3010"/>
          </w:tcPr>
          <w:p>
            <w:pPr>
              <w:jc w:val="center"/>
            </w:pPr>
            <w:r>
              <w:rPr>
                <w:rFonts w:ascii="Times New Roman" w:hAnsi="Times New Roman"/>
                <w:b w:val="0"/>
                <w:i w:val="0"/>
                <w:sz w:val="22"/>
              </w:rPr>
              <w:t>2</w:t>
            </w:r>
          </w:p>
        </w:tc>
        <w:tc>
          <w:tcPr>
            <w:tcW w:type="dxa" w:w="3010"/>
          </w:tcPr>
          <w:p>
            <w:pPr>
              <w:jc w:val="left"/>
            </w:pPr>
            <w:r>
              <w:rPr>
                <w:rFonts w:ascii="Times New Roman" w:hAnsi="Times New Roman"/>
                <w:b w:val="0"/>
                <w:i w:val="0"/>
                <w:sz w:val="22"/>
              </w:rPr>
              <w:t>Bhumi Beloshe</w:t>
            </w:r>
          </w:p>
        </w:tc>
        <w:tc>
          <w:tcPr>
            <w:tcW w:type="dxa" w:w="3010"/>
          </w:tcPr>
          <w:p>
            <w:pPr>
              <w:jc w:val="center"/>
            </w:pPr>
            <w:r>
              <w:rPr>
                <w:rFonts w:ascii="Times New Roman" w:hAnsi="Times New Roman"/>
                <w:b w:val="0"/>
                <w:i w:val="0"/>
                <w:sz w:val="22"/>
              </w:rPr>
              <w:t>123A7005</w:t>
            </w:r>
          </w:p>
        </w:tc>
      </w:tr>
      <w:tr>
        <w:tc>
          <w:tcPr>
            <w:tcW w:type="dxa" w:w="3010"/>
          </w:tcPr>
          <w:p>
            <w:pPr>
              <w:jc w:val="center"/>
            </w:pPr>
            <w:r>
              <w:rPr>
                <w:rFonts w:ascii="Times New Roman" w:hAnsi="Times New Roman"/>
                <w:b w:val="0"/>
                <w:i w:val="0"/>
                <w:sz w:val="22"/>
              </w:rPr>
              <w:t>3</w:t>
            </w:r>
          </w:p>
        </w:tc>
        <w:tc>
          <w:tcPr>
            <w:tcW w:type="dxa" w:w="3010"/>
          </w:tcPr>
          <w:p>
            <w:pPr>
              <w:jc w:val="left"/>
            </w:pPr>
            <w:r>
              <w:rPr>
                <w:rFonts w:ascii="Times New Roman" w:hAnsi="Times New Roman"/>
                <w:b w:val="0"/>
                <w:i w:val="0"/>
                <w:sz w:val="22"/>
              </w:rPr>
              <w:t>Sakshi Bhandare</w:t>
            </w:r>
          </w:p>
        </w:tc>
        <w:tc>
          <w:tcPr>
            <w:tcW w:type="dxa" w:w="3010"/>
          </w:tcPr>
          <w:p>
            <w:pPr>
              <w:jc w:val="center"/>
            </w:pPr>
            <w:r>
              <w:rPr>
                <w:rFonts w:ascii="Times New Roman" w:hAnsi="Times New Roman"/>
                <w:b w:val="0"/>
                <w:i w:val="0"/>
                <w:sz w:val="22"/>
              </w:rPr>
              <w:t>123A7007</w:t>
            </w:r>
          </w:p>
        </w:tc>
      </w:tr>
    </w:tbl>
    <w:p>
      <w:r>
        <w:br w:type="page"/>
      </w:r>
    </w:p>
    <w:p>
      <w:pPr>
        <w:spacing w:before="80" w:after="80"/>
        <w:jc w:val="left"/>
      </w:pPr>
      <w:r>
        <w:rPr>
          <w:rFonts w:ascii="Times New Roman" w:hAnsi="Times New Roman"/>
          <w:b/>
          <w:i w:val="0"/>
          <w:sz w:val="22"/>
        </w:rPr>
        <w:t>Week No: 1</w:t>
      </w:r>
      <w:r>
        <w:rPr>
          <w:rFonts w:ascii="Times New Roman" w:hAnsi="Times New Roman"/>
          <w:b w:val="0"/>
          <w:i w:val="0"/>
          <w:sz w:val="22"/>
        </w:rPr>
        <w:tab/>
        <w:tab/>
        <w:tab/>
        <w:tab/>
        <w:tab/>
        <w:tab/>
        <w:tab/>
        <w:tab/>
      </w:r>
      <w:r>
        <w:rPr>
          <w:rFonts w:ascii="Times New Roman" w:hAnsi="Times New Roman"/>
          <w:b/>
          <w:i w:val="0"/>
          <w:sz w:val="22"/>
        </w:rPr>
        <w:t>Date: 01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commenced the Stage-I work for our major project. In our initial team meeting, we thoroughly reviewed the academic project guidelines, timeline, and semester deliverables. We conducted our first literature review session focused on federated learning architectures and identified a critical unaddressed gap: while secure aggregation cryptographically conceals individual updates from the aggregator, it simultaneously prevents external verification of whether clients were legitimately admitted or arbitrarily omitted. We finalized our project scope and titled it 'BC-FL-SRV: Verifiable Admission Decisions for Privacy-Preserving Federated Learning'. We initialized our project environment with Python 3.13, PyTorch, and Git version control, enforcing strict project-local dependency isolation without relying on global packages.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Python 3.13 virtual environment, Git version control, IEEE/ACM digital libraries for foundational federated learning papers.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Project title and scope defined. Initial project repository structured and committed to Git. Core problem definition document drafted detailing the accountability gap in secure aggregation.</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07 Aug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Study recent systematizations of verifiable federated learning (PoPETs 2026) and formalize our project's mathematical threat model.</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2</w:t>
      </w:r>
      <w:r>
        <w:rPr>
          <w:rFonts w:ascii="Times New Roman" w:hAnsi="Times New Roman"/>
          <w:b w:val="0"/>
          <w:i w:val="0"/>
          <w:sz w:val="22"/>
        </w:rPr>
        <w:tab/>
        <w:tab/>
        <w:tab/>
        <w:tab/>
        <w:tab/>
        <w:tab/>
        <w:tab/>
        <w:tab/>
      </w:r>
      <w:r>
        <w:rPr>
          <w:rFonts w:ascii="Times New Roman" w:hAnsi="Times New Roman"/>
          <w:b/>
          <w:i w:val="0"/>
          <w:sz w:val="22"/>
        </w:rPr>
        <w:t>Date: 07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examined the latest systematization of knowledge on verifiable integrity claims for privacy-preserving federated learning (Rizzini et al., PoPETs 2026). We analyzed their integrity claim taxonomy (AG1: correct admission, AG2: correct aggregation, AG3: non-equivocation) and observed that existing solutions overwhelmingly concentrate on AG2 using expensive Zero-Knowledge Proofs or Trusted Execution Environments, while AG1 and AG3 are neglected despite being fundamentally lighter to verify. We formulated our falsifiable research hypothesis (RD-001): verifiable admission and non-equivocation can be achieved under secure aggregation using only cryptographic hashing and digital signatures, yielding verification overhead strictly independent of neural network model size.</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PoPETs 2026 survey papers, IACR cryptography archives, Whiteboard for protocol state diagrams.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Formalized threat model and research hypothesis document. Identified untrusted aggregator, malicious client, and colluding committee threat vectors.</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13 Aug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Design the mathematical architecture of the append-only Merkle transparency log based on RFC 6962.</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3</w:t>
      </w:r>
      <w:r>
        <w:rPr>
          <w:rFonts w:ascii="Times New Roman" w:hAnsi="Times New Roman"/>
          <w:b w:val="0"/>
          <w:i w:val="0"/>
          <w:sz w:val="22"/>
        </w:rPr>
        <w:tab/>
        <w:tab/>
        <w:tab/>
        <w:tab/>
        <w:tab/>
        <w:tab/>
        <w:tab/>
        <w:tab/>
      </w:r>
      <w:r>
        <w:rPr>
          <w:rFonts w:ascii="Times New Roman" w:hAnsi="Times New Roman"/>
          <w:b/>
          <w:i w:val="0"/>
          <w:sz w:val="22"/>
        </w:rPr>
        <w:t>Date: 13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designed the ledger architecture for our verifiable federated learning protocol. We adopted the RFC 6962 standard for Merkle hash trees, which guarantees append-only transparency with logarithmic proof complexity. We mathematically derived the leaf hashing scheme (prefixing leaves with 0x00 to prevent second-preimage attacks) and intermediate node hashing (prefixing with 0x01). We specified the canonical data structures for four round events: client submissions, committee admission sets, aggregation commitments, and round finalizations. Each entry strictly chains the prior Merkle root, guaranteeing temporal linearity and non-equivocation.</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IETF RFC 6962 specification, Python cryptography packages, Cryptographic hash functions reference manual.</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Architectural blueprint for the Merkle transcript module. Formal specification of length-prefixed domain-separated entry encodings to prevent cross-type collision attacks.</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19 Aug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Implement the core RFC 6962 Merkle tree library and build comprehensive adversarial unit test suites.</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4</w:t>
      </w:r>
      <w:r>
        <w:rPr>
          <w:rFonts w:ascii="Times New Roman" w:hAnsi="Times New Roman"/>
          <w:b w:val="0"/>
          <w:i w:val="0"/>
          <w:sz w:val="22"/>
        </w:rPr>
        <w:tab/>
        <w:tab/>
        <w:tab/>
        <w:tab/>
        <w:tab/>
        <w:tab/>
        <w:tab/>
        <w:tab/>
      </w:r>
      <w:r>
        <w:rPr>
          <w:rFonts w:ascii="Times New Roman" w:hAnsi="Times New Roman"/>
          <w:b/>
          <w:i w:val="0"/>
          <w:sz w:val="22"/>
        </w:rPr>
        <w:t>Date: 19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implemented the core RFC 6962 Merkle tree module in Python. We developed the tree builder, leaf commitment hasher, logarithmic inclusion proof generator, and append-only consistency proof calculator. We wrote an exhaustive test suite covering 124 unit test cases with 100% line coverage. Our tests specifically exercised adversarial edge cases, including in-place byte modifications, leaf deletions, leaf reordering, truncated proof paths at every prefix length, padded proofs, and mismatched tree roots. We ensured all verification routines fail closed and never raise uncaught runtime exceptions when receiving malformed or attacker-crafted bytes.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Python 3.13 standard libraries, hashlib, pytest testing framework, pytest-cov coverage tools.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Production-ready RFC 6962 Merkle tree module passing all 124 unit and adversarial verification tests with 100% code coverage.</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25 Aug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Implement cryptographic identity management using Ed25519 digital signatures and verifiable committee sortition.</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5</w:t>
      </w:r>
      <w:r>
        <w:rPr>
          <w:rFonts w:ascii="Times New Roman" w:hAnsi="Times New Roman"/>
          <w:b w:val="0"/>
          <w:i w:val="0"/>
          <w:sz w:val="22"/>
        </w:rPr>
        <w:tab/>
        <w:tab/>
        <w:tab/>
        <w:tab/>
        <w:tab/>
        <w:tab/>
        <w:tab/>
        <w:tab/>
      </w:r>
      <w:r>
        <w:rPr>
          <w:rFonts w:ascii="Times New Roman" w:hAnsi="Times New Roman"/>
          <w:b/>
          <w:i w:val="0"/>
          <w:sz w:val="22"/>
        </w:rPr>
        <w:t>Date: 25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developed the cryptographic identity and verifiable sortition subsystems. We implemented Ed25519 digital signature generation and verification for all participating entities (clients, committee members, and aggregator) using the Python cryptography library. We designed a deterministic committee sortition algorithm that selects an active attestation committee from the registered participant pool. The sortition pseudorandom seed is derived directly from the prior round's finalized Merkle root, ensuring that neither the aggregator nor any client can manipulate committee selection without altering historical round records. We also formulated the hypergeometric statistical model to quantify committee corruption probabilities across varying adversary fractions.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Python cryptography library (Ed25519 primitive), SciPy hypergeometric distribution functions, Git repository.</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Operational cryptographic identity module and verifiable sortition engine. Unit test suite confirming deterministic and reproducible committee derivation from transcript roots.</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31 Aug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Design the bounded evidence disclosure ladder (E0 to E4) and implement admission decision rules.</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6</w:t>
      </w:r>
      <w:r>
        <w:rPr>
          <w:rFonts w:ascii="Times New Roman" w:hAnsi="Times New Roman"/>
          <w:b w:val="0"/>
          <w:i w:val="0"/>
          <w:sz w:val="22"/>
        </w:rPr>
        <w:tab/>
        <w:tab/>
        <w:tab/>
        <w:tab/>
        <w:tab/>
        <w:tab/>
        <w:tab/>
        <w:tab/>
      </w:r>
      <w:r>
        <w:rPr>
          <w:rFonts w:ascii="Times New Roman" w:hAnsi="Times New Roman"/>
          <w:b/>
          <w:i w:val="0"/>
          <w:sz w:val="22"/>
        </w:rPr>
        <w:t>Date: 31 Aug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formulated and implemented the bounded evidence encoding ladder to resolve the tension between client privacy and Byzantine detection. We defined five discrete evidence disclosure levels: E0 (cryptographic commitment only, zero disclosure), E1 (scalar gradient norm), E2 (binned directional histogram), E3 (randomized Johnson-Lindenstrauss low-dimensional projection sketch), and E4 (full plaintext update). We implemented two generations of admission rules: G1 (a threshold-based norm filter) and G2 (an orthogonal evaluation combining bounded gradient norm check with low-dimensional directional cosine consistency against a running reference trajectory). This allows committee members to audit update validity without reconstructing private client datasets.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NumPy for vector projections and cosine similarity, PyTorch tensors, SIES college laboratory workstations.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Five-tier evidence encoding library and admission rule engine (G1 and G2). Validated evidence bounds and serialization schemas.</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07 Sep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Implement the threshold attestation protocol and construct the external auditor verification module.</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7</w:t>
      </w:r>
      <w:r>
        <w:rPr>
          <w:rFonts w:ascii="Times New Roman" w:hAnsi="Times New Roman"/>
          <w:b w:val="0"/>
          <w:i w:val="0"/>
          <w:sz w:val="22"/>
        </w:rPr>
        <w:tab/>
        <w:tab/>
        <w:tab/>
        <w:tab/>
        <w:tab/>
        <w:tab/>
        <w:tab/>
        <w:tab/>
      </w:r>
      <w:r>
        <w:rPr>
          <w:rFonts w:ascii="Times New Roman" w:hAnsi="Times New Roman"/>
          <w:b/>
          <w:i w:val="0"/>
          <w:sz w:val="22"/>
        </w:rPr>
        <w:t>Date: 07 Sep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developed the threshold attestation protocol and the external auditor engine. In our protocol, committee members independently inspect each submission's bounded evidence against the declared admission rule, form an admission set, and generate individual Ed25519 signatures over the admission set digest. The aggregator must collect at least a threshold t of m valid signatures before proceeding to aggregation. We then constructed the external auditor module: given only the public Merkle transcript, the auditor verifies that the recorded admission set is validly co-signed by the sortition-selected committee (AG1) and checks root consistency to confirm that the aggregator did not branch or equivocate across rounds (AG3).</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Python Ed25519 verification pipelines, Merkle transcript interface, Pytest automated testing suite.</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Complete threshold attestation and external auditor verification modules. Tested auditor verification under simulated tampering, signature omission, and signature forgery.</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14 Sep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Integrate the core protocol with an end-to-end federated learning pipeline on Fashion-MNIST dataset.</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8</w:t>
      </w:r>
      <w:r>
        <w:rPr>
          <w:rFonts w:ascii="Times New Roman" w:hAnsi="Times New Roman"/>
          <w:b w:val="0"/>
          <w:i w:val="0"/>
          <w:sz w:val="22"/>
        </w:rPr>
        <w:tab/>
        <w:tab/>
        <w:tab/>
        <w:tab/>
        <w:tab/>
        <w:tab/>
        <w:tab/>
        <w:tab/>
      </w:r>
      <w:r>
        <w:rPr>
          <w:rFonts w:ascii="Times New Roman" w:hAnsi="Times New Roman"/>
          <w:b/>
          <w:i w:val="0"/>
          <w:sz w:val="22"/>
        </w:rPr>
        <w:t>Date: 14 Sep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integrated our verifiable admission protocol into an end-to-end federated learning simulation. We implemented a convolutional neural network (SmallCNN) and configured the Fashion-MNIST benchmark dataset. To simulate realistic heterogeneous edge conditions, we implemented Dirichlet non-IID data partitioning with concentration parameter alpha = 0.5 across five federated clients. We incorporated additive secure aggregation masking, ensuring the central aggregator only observes the sum of masked client tensors and cannot inspect individual updates. We conducted our first complete training run of 10 federated rounds, successfully reaching 83.88% test classification accuracy with verifiable admission sets.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PyTorch 2.12 (CPU execution), torchvision Fashion-MNIST dataset, Multi-core CPU compute workstation.</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Functional federated learning pipeline running end-to-end with verifiable admission and secure aggregation, achieving 83.88% test accuracy under non-IID Dirichlet distribution.</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21 Sep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Implement adversarial attack generators to benchmark Byzantine resilience and tamper detection capabilities.</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9</w:t>
      </w:r>
      <w:r>
        <w:rPr>
          <w:rFonts w:ascii="Times New Roman" w:hAnsi="Times New Roman"/>
          <w:b w:val="0"/>
          <w:i w:val="0"/>
          <w:sz w:val="22"/>
        </w:rPr>
        <w:tab/>
        <w:tab/>
        <w:tab/>
        <w:tab/>
        <w:tab/>
        <w:tab/>
        <w:tab/>
        <w:tab/>
      </w:r>
      <w:r>
        <w:rPr>
          <w:rFonts w:ascii="Times New Roman" w:hAnsi="Times New Roman"/>
          <w:b/>
          <w:i w:val="0"/>
          <w:sz w:val="22"/>
        </w:rPr>
        <w:t>Date: 21 Sep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designed and implemented a comprehensive suite of adversarial attacks targeting both the machine learning and the cryptographic verification layers. We implemented gradient sign-flip attacks, Gaussian noise injection, label-flipping attacks, and sophisticated slow-drift evasion attacks (a variant of 'A Little Is Enough'). On the protocol side, we implemented attacks for selective client dropping, Merkle root equivocation, post-hoc admission set modification, unauthorized client injection, replay of expired submissions, and sortition seed grinding. We confirmed that our system successfully intercepts and isolates invalid updates before model aggregation.</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PyTorch gradient manipulation tools, Attack simulation scripts, Pytest verification suite.</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Adversarial attack harness with 14 distinct attack vectors covering both machine learning poisoning and cryptographic transcript manipulation.</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26 Sep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Conduct Experiment E-1 (verification cost scaling vs model size) and Experiment E-2 (tamper detection benchmark).</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10</w:t>
      </w:r>
      <w:r>
        <w:rPr>
          <w:rFonts w:ascii="Times New Roman" w:hAnsi="Times New Roman"/>
          <w:b w:val="0"/>
          <w:i w:val="0"/>
          <w:sz w:val="22"/>
        </w:rPr>
        <w:tab/>
        <w:tab/>
        <w:tab/>
        <w:tab/>
        <w:tab/>
        <w:tab/>
        <w:tab/>
        <w:tab/>
      </w:r>
      <w:r>
        <w:rPr>
          <w:rFonts w:ascii="Times New Roman" w:hAnsi="Times New Roman"/>
          <w:b/>
          <w:i w:val="0"/>
          <w:sz w:val="22"/>
        </w:rPr>
        <w:t>Date: 26 Sep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executed formal benchmarks for Experiment E-1 and Experiment E-2. In E-1, we measured auditor verification time across model parameter sizes ranging from 64 bytes to 4 MiB (a 65,536-fold size range). We empirically demonstrated that inclusion check time remained virtually constant (1.55 microseconds at 64 B vs 1.59 microseconds at 4 MiB, a 1.03x ratio), validating our core claim that verification overhead is independent of model size N. In E-2, we evaluated tamper detection against 14 attack scenarios. BC-FL-SRV correctly detected 12 out of 14 attacks with 0 false positives on honest rounds, outperforming traditional signed-log (5/14) and self-attestation (6/14) baselines.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High-resolution Python time_ns benchmarking utilities, Matplotlib data visualization libraries, SIES lab systems.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Empirical proof of O(1) verification cost scaling relative to model size. Comprehensive detection benchmark table showing 12/14 attacks detected with zero false alarms on honest participants.</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30 Sep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Execute Experiment E-3 (committee corruption probability) and Experiments E-4/E-5 (privacy-detection trade-off curve).</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11</w:t>
      </w:r>
      <w:r>
        <w:rPr>
          <w:rFonts w:ascii="Times New Roman" w:hAnsi="Times New Roman"/>
          <w:b w:val="0"/>
          <w:i w:val="0"/>
          <w:sz w:val="22"/>
        </w:rPr>
        <w:tab/>
        <w:tab/>
        <w:tab/>
        <w:tab/>
        <w:tab/>
        <w:tab/>
        <w:tab/>
        <w:tab/>
      </w:r>
      <w:r>
        <w:rPr>
          <w:rFonts w:ascii="Times New Roman" w:hAnsi="Times New Roman"/>
          <w:b/>
          <w:i w:val="0"/>
          <w:sz w:val="22"/>
        </w:rPr>
        <w:t>Date: 30 Sep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conducted experimental evaluations for committee corruption dynamics (E-3) and the privacy-detection trade-off (E-4/E-5). We ran 10,000 Monte Carlo sortition iterations across varying malicious fractions (10% to 40%) and committee sizes (m = 3 to 15), confirming that empirical corruption frequencies matched our theoretical hypergeometric model within 3 standard deviations. In E-4 and E-5, we evaluated the G2 rule across evidence levels and demonstrated that verifiable admission introduces exactly zero accuracy loss compared to an idealized trusted-server baseline (0.0e+00 difference). We also documented an honest limitation: under slow-drift evasion, low-magnitude adversarial updates remain geometrically inside the admission boundary, bounding our security claims realistically.</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NumPy statistical simulation routines, Matplotlib graphing scripts, Tabulated benchmark logs.</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Validated committee corruption probability curves. Quantified privacy-detection trade-off and confirmed zero machine learning utility penalty from our verification mechanism.</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03 Oct 2026</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Perform full test suite regression, calculate final test coverage, and compile the Stage-I Project Report.</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p>
      <w:r>
        <w:br w:type="page"/>
      </w:r>
    </w:p>
    <w:p>
      <w:pPr>
        <w:spacing w:before="80" w:after="80"/>
        <w:jc w:val="left"/>
      </w:pPr>
      <w:r>
        <w:rPr>
          <w:rFonts w:ascii="Times New Roman" w:hAnsi="Times New Roman"/>
          <w:b/>
          <w:i w:val="0"/>
          <w:sz w:val="22"/>
        </w:rPr>
        <w:t>Week No: 12</w:t>
      </w:r>
      <w:r>
        <w:rPr>
          <w:rFonts w:ascii="Times New Roman" w:hAnsi="Times New Roman"/>
          <w:b w:val="0"/>
          <w:i w:val="0"/>
          <w:sz w:val="22"/>
        </w:rPr>
        <w:tab/>
        <w:tab/>
        <w:tab/>
        <w:tab/>
        <w:tab/>
        <w:tab/>
        <w:tab/>
        <w:tab/>
      </w:r>
      <w:r>
        <w:rPr>
          <w:rFonts w:ascii="Times New Roman" w:hAnsi="Times New Roman"/>
          <w:b/>
          <w:i w:val="0"/>
          <w:sz w:val="22"/>
        </w:rPr>
        <w:t>Date: 05 Oct 2026</w:t>
      </w:r>
    </w:p>
    <w:p>
      <w:pPr>
        <w:spacing w:before="120" w:after="40"/>
        <w:jc w:val="left"/>
      </w:pPr>
      <w:r>
        <w:rPr>
          <w:rFonts w:ascii="Times New Roman" w:hAnsi="Times New Roman"/>
          <w:b/>
          <w:i w:val="0"/>
          <w:sz w:val="22"/>
        </w:rPr>
        <w:t>ACTIVITY PERFORMED:</w:t>
      </w:r>
    </w:p>
    <w:p>
      <w:pPr>
        <w:spacing w:before="0" w:after="120" w:line="276" w:lineRule="auto"/>
        <w:jc w:val="both"/>
      </w:pPr>
      <w:r>
        <w:rPr>
          <w:rFonts w:ascii="Times New Roman" w:hAnsi="Times New Roman"/>
          <w:b w:val="0"/>
          <w:i w:val="0"/>
          <w:sz w:val="22"/>
        </w:rPr>
        <w:t>We finalized all deliverables for the Stage-I major project review. We executed the complete automated test suite, achieving a total of 366 passing tests with 99% overall line coverage across our core codebase. We verified that all cryptographic verifiers fail closed when supplied with malformed inputs. We formatted our comprehensive Stage-I Project Report in strict compliance with the college formatting guidelines (Times New Roman, 1.5 line spacing, standard margins, approved chapter structure). We compiled all experimental data, architectural diagrams, literature tables, and reference citations. Finally, we prepared our Stage-I presentation slides and organized our weekly logbook records.</w:t>
      </w:r>
    </w:p>
    <w:p>
      <w:pPr>
        <w:spacing w:before="120" w:after="40"/>
        <w:jc w:val="left"/>
      </w:pPr>
      <w:r>
        <w:rPr>
          <w:rFonts w:ascii="Times New Roman" w:hAnsi="Times New Roman"/>
          <w:b/>
          <w:i w:val="0"/>
          <w:sz w:val="22"/>
        </w:rPr>
        <w:t>RESOURCES UTILIZED IF ANY:</w:t>
      </w:r>
    </w:p>
    <w:p>
      <w:pPr>
        <w:spacing w:before="0" w:after="120" w:line="276" w:lineRule="auto"/>
        <w:jc w:val="both"/>
      </w:pPr>
      <w:r>
        <w:rPr>
          <w:rFonts w:ascii="Times New Roman" w:hAnsi="Times New Roman"/>
          <w:b w:val="0"/>
          <w:i w:val="0"/>
          <w:sz w:val="22"/>
        </w:rPr>
        <w:t>Pytest 9.1.1, Coverage analysis report, Microsoft Word / python-docx formatting tools, Presentation software.</w:t>
      </w:r>
    </w:p>
    <w:p>
      <w:pPr>
        <w:spacing w:before="120" w:after="40"/>
        <w:jc w:val="left"/>
      </w:pPr>
      <w:r>
        <w:rPr>
          <w:rFonts w:ascii="Times New Roman" w:hAnsi="Times New Roman"/>
          <w:b/>
          <w:i w:val="0"/>
          <w:sz w:val="22"/>
        </w:rPr>
        <w:t>OUTCOME:</w:t>
      </w:r>
    </w:p>
    <w:p>
      <w:pPr>
        <w:spacing w:before="0" w:after="120" w:line="276" w:lineRule="auto"/>
        <w:jc w:val="both"/>
      </w:pPr>
      <w:r>
        <w:rPr>
          <w:rFonts w:ascii="Times New Roman" w:hAnsi="Times New Roman"/>
          <w:b w:val="0"/>
          <w:i w:val="0"/>
          <w:sz w:val="22"/>
        </w:rPr>
        <w:t>Completed Stage-I Project Report, finalized 12-week project log book, 366 passing test cases with 99% code coverage, and full readiness for Semester VII Stage-I project viva and evaluation.</w:t>
      </w:r>
    </w:p>
    <w:p>
      <w:pPr>
        <w:spacing w:before="40" w:after="80" w:line="276" w:lineRule="auto"/>
        <w:jc w:val="left"/>
      </w:pPr>
      <w:r>
        <w:rPr>
          <w:rFonts w:ascii="Times New Roman" w:hAnsi="Times New Roman"/>
          <w:b/>
          <w:i w:val="0"/>
          <w:sz w:val="22"/>
        </w:rPr>
        <w:t xml:space="preserve">NEXT DATE OF MEETING: </w:t>
      </w:r>
      <w:r>
        <w:rPr>
          <w:rFonts w:ascii="Times New Roman" w:hAnsi="Times New Roman"/>
          <w:b w:val="0"/>
          <w:i w:val="0"/>
          <w:sz w:val="22"/>
        </w:rPr>
        <w:t>Stage-I Examination / Stage-II Phase Kick-off</w:t>
      </w:r>
    </w:p>
    <w:p>
      <w:pPr>
        <w:spacing w:before="120" w:after="40"/>
        <w:jc w:val="left"/>
      </w:pPr>
      <w:r>
        <w:rPr>
          <w:rFonts w:ascii="Times New Roman" w:hAnsi="Times New Roman"/>
          <w:b/>
          <w:i w:val="0"/>
          <w:sz w:val="22"/>
        </w:rPr>
        <w:t>ACTIVITY PLANNED:</w:t>
      </w:r>
    </w:p>
    <w:p>
      <w:pPr>
        <w:spacing w:before="0" w:after="120" w:line="276" w:lineRule="auto"/>
        <w:jc w:val="both"/>
      </w:pPr>
      <w:r>
        <w:rPr>
          <w:rFonts w:ascii="Times New Roman" w:hAnsi="Times New Roman"/>
          <w:b w:val="0"/>
          <w:i w:val="0"/>
          <w:sz w:val="22"/>
        </w:rPr>
        <w:t>Prepare for Stage-I project examination and viva; outline Stage-II ablation studies and multi-auditor gossip experiments.</w:t>
      </w:r>
    </w:p>
    <w:p>
      <w:pPr>
        <w:spacing w:before="280" w:after="80"/>
        <w:jc w:val="right"/>
      </w:pPr>
      <w:r>
        <w:rPr>
          <w:rFonts w:ascii="Times New Roman" w:hAnsi="Times New Roman"/>
          <w:b w:val="0"/>
          <w:i w:val="0"/>
          <w:sz w:val="20"/>
        </w:rPr>
        <w:t>_______________________________</w:t>
        <w:br/>
        <w:t xml:space="preserve">Signature of Guide          </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i w:val="0"/>
                <w:sz w:val="20"/>
              </w:rPr>
              <w:t>Name of Group Members</w:t>
            </w:r>
          </w:p>
        </w:tc>
        <w:tc>
          <w:tcPr>
            <w:tcW w:type="dxa" w:w="3010"/>
          </w:tcPr>
          <w:p>
            <w:pPr>
              <w:jc w:val="center"/>
            </w:pPr>
            <w:r>
              <w:rPr>
                <w:rFonts w:ascii="Times New Roman" w:hAnsi="Times New Roman"/>
                <w:b/>
                <w:i w:val="0"/>
                <w:sz w:val="20"/>
              </w:rPr>
              <w:t>Roll no</w:t>
            </w:r>
          </w:p>
        </w:tc>
        <w:tc>
          <w:tcPr>
            <w:tcW w:type="dxa" w:w="3010"/>
          </w:tcPr>
          <w:p>
            <w:pPr>
              <w:jc w:val="center"/>
            </w:pPr>
            <w:r>
              <w:rPr>
                <w:rFonts w:ascii="Times New Roman" w:hAnsi="Times New Roman"/>
                <w:b/>
                <w:i w:val="0"/>
                <w:sz w:val="20"/>
              </w:rPr>
              <w:t>Signature</w:t>
            </w:r>
          </w:p>
        </w:tc>
      </w:tr>
      <w:tr>
        <w:tc>
          <w:tcPr>
            <w:tcW w:type="dxa" w:w="3010"/>
          </w:tcPr>
          <w:p>
            <w:pPr>
              <w:jc w:val="left"/>
            </w:pPr>
            <w:r>
              <w:rPr>
                <w:rFonts w:ascii="Times New Roman" w:hAnsi="Times New Roman"/>
                <w:b w:val="0"/>
                <w:i w:val="0"/>
                <w:sz w:val="20"/>
              </w:rPr>
              <w:t>Ayush Lanke</w:t>
            </w:r>
          </w:p>
        </w:tc>
        <w:tc>
          <w:tcPr>
            <w:tcW w:type="dxa" w:w="3010"/>
          </w:tcPr>
          <w:p>
            <w:pPr>
              <w:jc w:val="center"/>
            </w:pPr>
            <w:r>
              <w:rPr>
                <w:rFonts w:ascii="Times New Roman" w:hAnsi="Times New Roman"/>
                <w:b w:val="0"/>
                <w:i w:val="0"/>
                <w:sz w:val="20"/>
              </w:rPr>
              <w:t>123A7004</w:t>
            </w:r>
          </w:p>
        </w:tc>
        <w:tc>
          <w:tcPr>
            <w:tcW w:type="dxa" w:w="3010"/>
          </w:tcPr>
          <w:p>
            <w:pPr>
              <w:jc w:val="center"/>
            </w:pPr>
          </w:p>
        </w:tc>
      </w:tr>
      <w:tr>
        <w:tc>
          <w:tcPr>
            <w:tcW w:type="dxa" w:w="3010"/>
          </w:tcPr>
          <w:p>
            <w:pPr>
              <w:jc w:val="left"/>
            </w:pPr>
            <w:r>
              <w:rPr>
                <w:rFonts w:ascii="Times New Roman" w:hAnsi="Times New Roman"/>
                <w:b w:val="0"/>
                <w:i w:val="0"/>
                <w:sz w:val="20"/>
              </w:rPr>
              <w:t>Bhumi Beloshe</w:t>
            </w:r>
          </w:p>
        </w:tc>
        <w:tc>
          <w:tcPr>
            <w:tcW w:type="dxa" w:w="3010"/>
          </w:tcPr>
          <w:p>
            <w:pPr>
              <w:jc w:val="center"/>
            </w:pPr>
            <w:r>
              <w:rPr>
                <w:rFonts w:ascii="Times New Roman" w:hAnsi="Times New Roman"/>
                <w:b w:val="0"/>
                <w:i w:val="0"/>
                <w:sz w:val="20"/>
              </w:rPr>
              <w:t>123A7005</w:t>
            </w:r>
          </w:p>
        </w:tc>
        <w:tc>
          <w:tcPr>
            <w:tcW w:type="dxa" w:w="3010"/>
          </w:tcPr>
          <w:p>
            <w:pPr>
              <w:jc w:val="center"/>
            </w:pPr>
          </w:p>
        </w:tc>
      </w:tr>
      <w:tr>
        <w:tc>
          <w:tcPr>
            <w:tcW w:type="dxa" w:w="3010"/>
          </w:tcPr>
          <w:p>
            <w:pPr>
              <w:jc w:val="left"/>
            </w:pPr>
            <w:r>
              <w:rPr>
                <w:rFonts w:ascii="Times New Roman" w:hAnsi="Times New Roman"/>
                <w:b w:val="0"/>
                <w:i w:val="0"/>
                <w:sz w:val="20"/>
              </w:rPr>
              <w:t>Sakshi Bhandare</w:t>
            </w:r>
          </w:p>
        </w:tc>
        <w:tc>
          <w:tcPr>
            <w:tcW w:type="dxa" w:w="3010"/>
          </w:tcPr>
          <w:p>
            <w:pPr>
              <w:jc w:val="center"/>
            </w:pPr>
            <w:r>
              <w:rPr>
                <w:rFonts w:ascii="Times New Roman" w:hAnsi="Times New Roman"/>
                <w:b w:val="0"/>
                <w:i w:val="0"/>
                <w:sz w:val="20"/>
              </w:rPr>
              <w:t>123A7007</w:t>
            </w:r>
          </w:p>
        </w:tc>
        <w:tc>
          <w:tcPr>
            <w:tcW w:type="dxa" w:w="3010"/>
          </w:tcPr>
          <w:p>
            <w:pPr>
              <w:jc w:val="center"/>
            </w:pPr>
          </w:p>
        </w:tc>
      </w:tr>
    </w:tbl>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