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Times New Roman" w:hAnsi="Times New Roman"/>
          <w:b/>
          <w:i w:val="0"/>
          <w:sz w:val="32"/>
        </w:rPr>
        <w:t>STAGE-I PROJECT REPORT</w:t>
      </w:r>
    </w:p>
    <w:p>
      <w:pPr>
        <w:spacing w:before="0" w:after="240" w:line="276" w:lineRule="auto"/>
        <w:jc w:val="center"/>
      </w:pPr>
      <w:r>
        <w:rPr>
          <w:rFonts w:ascii="Times New Roman" w:hAnsi="Times New Roman"/>
          <w:b w:val="0"/>
          <w:i/>
          <w:sz w:val="26"/>
        </w:rPr>
        <w:t>on</w:t>
      </w:r>
    </w:p>
    <w:p>
      <w:pPr>
        <w:spacing w:before="0" w:after="60" w:line="276" w:lineRule="auto"/>
        <w:jc w:val="center"/>
      </w:pPr>
      <w:r>
        <w:rPr>
          <w:rFonts w:ascii="Times New Roman" w:hAnsi="Times New Roman"/>
          <w:b/>
          <w:i w:val="0"/>
          <w:sz w:val="28"/>
        </w:rPr>
        <w:t>BC-FL-SRV: Verifiable Admission Decisions for</w:t>
      </w:r>
    </w:p>
    <w:p>
      <w:pPr>
        <w:spacing w:before="0" w:after="480" w:line="276" w:lineRule="auto"/>
        <w:jc w:val="center"/>
      </w:pPr>
      <w:r>
        <w:rPr>
          <w:rFonts w:ascii="Times New Roman" w:hAnsi="Times New Roman"/>
          <w:b/>
          <w:i w:val="0"/>
          <w:sz w:val="28"/>
        </w:rPr>
        <w:t>Privacy-Preserving Federated Learning</w:t>
      </w:r>
    </w:p>
    <w:p>
      <w:pPr>
        <w:spacing w:before="0" w:after="160" w:line="276" w:lineRule="auto"/>
        <w:jc w:val="center"/>
      </w:pPr>
      <w:r>
        <w:rPr>
          <w:rFonts w:ascii="Times New Roman" w:hAnsi="Times New Roman"/>
          <w:b w:val="0"/>
          <w:i/>
          <w:sz w:val="24"/>
        </w:rPr>
        <w:t>By</w:t>
      </w:r>
    </w:p>
    <w:p>
      <w:pPr>
        <w:spacing w:before="0" w:after="60" w:line="276" w:lineRule="auto"/>
        <w:jc w:val="center"/>
      </w:pPr>
      <w:r>
        <w:rPr>
          <w:rFonts w:ascii="Times New Roman" w:hAnsi="Times New Roman"/>
          <w:b/>
          <w:i w:val="0"/>
          <w:sz w:val="24"/>
        </w:rPr>
        <w:t>Ayush Lanke                (Roll No. 123A7004)</w:t>
      </w:r>
    </w:p>
    <w:p>
      <w:pPr>
        <w:spacing w:before="0" w:after="60" w:line="276" w:lineRule="auto"/>
        <w:jc w:val="center"/>
      </w:pPr>
      <w:r>
        <w:rPr>
          <w:rFonts w:ascii="Times New Roman" w:hAnsi="Times New Roman"/>
          <w:b/>
          <w:i w:val="0"/>
          <w:sz w:val="24"/>
        </w:rPr>
        <w:t>Bhumi Beloshe              (Roll No. 123A7005)</w:t>
      </w:r>
    </w:p>
    <w:p>
      <w:pPr>
        <w:spacing w:before="0" w:after="480" w:line="276" w:lineRule="auto"/>
        <w:jc w:val="center"/>
      </w:pPr>
      <w:r>
        <w:rPr>
          <w:rFonts w:ascii="Times New Roman" w:hAnsi="Times New Roman"/>
          <w:b/>
          <w:i w:val="0"/>
          <w:sz w:val="24"/>
        </w:rPr>
        <w:t>Sakshi Bhandare            (Roll No. 123A7007)</w:t>
      </w:r>
    </w:p>
    <w:p>
      <w:pPr>
        <w:spacing w:before="0" w:after="80" w:line="276" w:lineRule="auto"/>
        <w:jc w:val="center"/>
      </w:pPr>
      <w:r>
        <w:rPr>
          <w:rFonts w:ascii="Times New Roman" w:hAnsi="Times New Roman"/>
          <w:b/>
          <w:i w:val="0"/>
          <w:sz w:val="24"/>
        </w:rPr>
        <w:t>UNDER THE GUIDANCE OF</w:t>
      </w:r>
    </w:p>
    <w:p>
      <w:pPr>
        <w:spacing w:before="0" w:after="480" w:line="276" w:lineRule="auto"/>
        <w:jc w:val="center"/>
      </w:pPr>
      <w:r>
        <w:rPr>
          <w:rFonts w:ascii="Times New Roman" w:hAnsi="Times New Roman"/>
          <w:b/>
          <w:i w:val="0"/>
          <w:sz w:val="24"/>
        </w:rPr>
        <w:t>Prof. ___________________________</w:t>
      </w:r>
    </w:p>
    <w:p>
      <w:pPr>
        <w:spacing w:before="0" w:after="80" w:line="276" w:lineRule="auto"/>
        <w:jc w:val="center"/>
      </w:pPr>
      <w:r>
        <w:rPr>
          <w:rFonts w:ascii="Times New Roman" w:hAnsi="Times New Roman"/>
          <w:b w:val="0"/>
          <w:i w:val="0"/>
          <w:sz w:val="22"/>
        </w:rPr>
        <w:t>SUBMITTED IN PARTIAL FULFILLMENT FOR THE DEGREE OF</w:t>
      </w:r>
    </w:p>
    <w:p>
      <w:pPr>
        <w:spacing w:before="0" w:after="120" w:line="276" w:lineRule="auto"/>
        <w:jc w:val="center"/>
      </w:pPr>
      <w:r>
        <w:rPr>
          <w:rFonts w:ascii="Times New Roman" w:hAnsi="Times New Roman"/>
          <w:b/>
          <w:i w:val="0"/>
          <w:sz w:val="26"/>
        </w:rPr>
        <w:t>BACHELOR OF ENGINEERING</w:t>
      </w:r>
    </w:p>
    <w:p>
      <w:pPr>
        <w:spacing w:before="0" w:after="360" w:line="276" w:lineRule="auto"/>
        <w:jc w:val="center"/>
      </w:pPr>
      <w:r>
        <w:rPr>
          <w:rFonts w:ascii="Times New Roman" w:hAnsi="Times New Roman"/>
          <w:b/>
          <w:i w:val="0"/>
          <w:sz w:val="24"/>
        </w:rPr>
        <w:t>Department of Computer Engineering</w:t>
      </w:r>
    </w:p>
    <w:p>
      <w:pPr>
        <w:spacing w:before="0" w:after="60" w:line="276" w:lineRule="auto"/>
        <w:jc w:val="center"/>
      </w:pPr>
      <w:r>
        <w:rPr>
          <w:rFonts w:ascii="Times New Roman" w:hAnsi="Times New Roman"/>
          <w:b/>
          <w:i w:val="0"/>
          <w:sz w:val="26"/>
        </w:rPr>
        <w:t>SIES Graduate School of Technology (Autonomous)</w:t>
      </w:r>
    </w:p>
    <w:p>
      <w:pPr>
        <w:spacing w:before="0" w:after="60" w:line="276" w:lineRule="auto"/>
        <w:jc w:val="center"/>
      </w:pPr>
      <w:r>
        <w:rPr>
          <w:rFonts w:ascii="Times New Roman" w:hAnsi="Times New Roman"/>
          <w:b w:val="0"/>
          <w:i/>
          <w:sz w:val="22"/>
        </w:rPr>
        <w:t>Affiliated to University of Mumbai</w:t>
      </w:r>
    </w:p>
    <w:p>
      <w:pPr>
        <w:spacing w:before="0" w:after="120" w:line="276" w:lineRule="auto"/>
        <w:jc w:val="center"/>
      </w:pPr>
      <w:r>
        <w:rPr>
          <w:rFonts w:ascii="Times New Roman" w:hAnsi="Times New Roman"/>
          <w:b w:val="0"/>
          <w:i w:val="0"/>
          <w:sz w:val="22"/>
        </w:rPr>
        <w:t>Nerul, Navi Mumbai – 400 706</w:t>
      </w:r>
    </w:p>
    <w:p>
      <w:pPr>
        <w:spacing w:before="0" w:after="0" w:line="276" w:lineRule="auto"/>
        <w:jc w:val="center"/>
      </w:pPr>
      <w:r>
        <w:rPr>
          <w:rFonts w:ascii="Times New Roman" w:hAnsi="Times New Roman"/>
          <w:b/>
          <w:i w:val="0"/>
          <w:sz w:val="24"/>
        </w:rPr>
        <w:t>(Academic Year 2026–27)</w:t>
      </w:r>
    </w:p>
    <w:p>
      <w:r>
        <w:br w:type="page"/>
      </w:r>
    </w:p>
    <w:p>
      <w:pPr>
        <w:spacing w:before="240" w:after="360" w:line="276" w:lineRule="auto"/>
        <w:jc w:val="center"/>
      </w:pPr>
      <w:r>
        <w:rPr>
          <w:rFonts w:ascii="Times New Roman" w:hAnsi="Times New Roman"/>
          <w:b/>
          <w:i w:val="0"/>
          <w:sz w:val="30"/>
        </w:rPr>
        <w:t>CERTIFICATE</w:t>
      </w:r>
    </w:p>
    <w:p>
      <w:pPr>
        <w:spacing w:before="0" w:after="120" w:line="360" w:lineRule="auto"/>
        <w:jc w:val="both"/>
        <w:jc w:val="both"/>
      </w:pPr>
      <w:r>
        <w:rPr>
          <w:rFonts w:ascii="Times New Roman" w:hAnsi="Times New Roman"/>
          <w:b w:val="0"/>
          <w:i w:val="0"/>
          <w:sz w:val="24"/>
        </w:rPr>
        <w:t>This is to certify that this is a bonafide record of Project Stage-I of the project titled "BC-FL-SRV: Verifiable Admission Decisions for Privacy-Preserving Federated Learning" carried out by the following students of final year in Computer Engineering:</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rPr>
              <w:t>Sr. No.</w:t>
            </w:r>
          </w:p>
        </w:tc>
        <w:tc>
          <w:tcPr>
            <w:tcW w:type="dxa" w:w="2890"/>
          </w:tcPr>
          <w:p>
            <w:pPr>
              <w:jc w:val="center"/>
            </w:pPr>
            <w:r>
              <w:rPr>
                <w:rFonts w:ascii="Times New Roman" w:hAnsi="Times New Roman"/>
                <w:b/>
                <w:i w:val="0"/>
                <w:sz w:val="22"/>
              </w:rPr>
              <w:t>Name of Student</w:t>
            </w:r>
          </w:p>
        </w:tc>
        <w:tc>
          <w:tcPr>
            <w:tcW w:type="dxa" w:w="2890"/>
          </w:tcPr>
          <w:p>
            <w:pPr>
              <w:jc w:val="center"/>
            </w:pPr>
            <w:r>
              <w:rPr>
                <w:rFonts w:ascii="Times New Roman" w:hAnsi="Times New Roman"/>
                <w:b/>
                <w:i w:val="0"/>
                <w:sz w:val="22"/>
              </w:rPr>
              <w:t>Roll No.</w:t>
            </w:r>
          </w:p>
        </w:tc>
      </w:tr>
      <w:tr>
        <w:tc>
          <w:tcPr>
            <w:tcW w:type="dxa" w:w="2890"/>
          </w:tcPr>
          <w:p>
            <w:pPr>
              <w:jc w:val="center"/>
            </w:pPr>
            <w:r>
              <w:rPr>
                <w:rFonts w:ascii="Times New Roman" w:hAnsi="Times New Roman"/>
                <w:b w:val="0"/>
                <w:i w:val="0"/>
                <w:sz w:val="22"/>
              </w:rPr>
              <w:t>1.</w:t>
            </w:r>
          </w:p>
        </w:tc>
        <w:tc>
          <w:tcPr>
            <w:tcW w:type="dxa" w:w="2890"/>
          </w:tcPr>
          <w:p>
            <w:pPr>
              <w:jc w:val="left"/>
            </w:pPr>
            <w:r>
              <w:rPr>
                <w:rFonts w:ascii="Times New Roman" w:hAnsi="Times New Roman"/>
                <w:b w:val="0"/>
                <w:i w:val="0"/>
                <w:sz w:val="22"/>
              </w:rPr>
              <w:t>Ayush Lanke</w:t>
            </w:r>
          </w:p>
        </w:tc>
        <w:tc>
          <w:tcPr>
            <w:tcW w:type="dxa" w:w="2890"/>
          </w:tcPr>
          <w:p>
            <w:pPr>
              <w:jc w:val="center"/>
            </w:pPr>
            <w:r>
              <w:rPr>
                <w:rFonts w:ascii="Times New Roman" w:hAnsi="Times New Roman"/>
                <w:b w:val="0"/>
                <w:i w:val="0"/>
                <w:sz w:val="22"/>
              </w:rPr>
              <w:t>123A7004</w:t>
            </w:r>
          </w:p>
        </w:tc>
      </w:tr>
      <w:tr>
        <w:tc>
          <w:tcPr>
            <w:tcW w:type="dxa" w:w="2890"/>
          </w:tcPr>
          <w:p>
            <w:pPr>
              <w:jc w:val="center"/>
            </w:pPr>
            <w:r>
              <w:rPr>
                <w:rFonts w:ascii="Times New Roman" w:hAnsi="Times New Roman"/>
                <w:b w:val="0"/>
                <w:i w:val="0"/>
                <w:sz w:val="22"/>
              </w:rPr>
              <w:t>2.</w:t>
            </w:r>
          </w:p>
        </w:tc>
        <w:tc>
          <w:tcPr>
            <w:tcW w:type="dxa" w:w="2890"/>
          </w:tcPr>
          <w:p>
            <w:pPr>
              <w:jc w:val="left"/>
            </w:pPr>
            <w:r>
              <w:rPr>
                <w:rFonts w:ascii="Times New Roman" w:hAnsi="Times New Roman"/>
                <w:b w:val="0"/>
                <w:i w:val="0"/>
                <w:sz w:val="22"/>
              </w:rPr>
              <w:t>Bhumi Beloshe</w:t>
            </w:r>
          </w:p>
        </w:tc>
        <w:tc>
          <w:tcPr>
            <w:tcW w:type="dxa" w:w="2890"/>
          </w:tcPr>
          <w:p>
            <w:pPr>
              <w:jc w:val="center"/>
            </w:pPr>
            <w:r>
              <w:rPr>
                <w:rFonts w:ascii="Times New Roman" w:hAnsi="Times New Roman"/>
                <w:b w:val="0"/>
                <w:i w:val="0"/>
                <w:sz w:val="22"/>
              </w:rPr>
              <w:t>123A7005</w:t>
            </w:r>
          </w:p>
        </w:tc>
      </w:tr>
      <w:tr>
        <w:tc>
          <w:tcPr>
            <w:tcW w:type="dxa" w:w="2890"/>
          </w:tcPr>
          <w:p>
            <w:pPr>
              <w:jc w:val="center"/>
            </w:pPr>
            <w:r>
              <w:rPr>
                <w:rFonts w:ascii="Times New Roman" w:hAnsi="Times New Roman"/>
                <w:b w:val="0"/>
                <w:i w:val="0"/>
                <w:sz w:val="22"/>
              </w:rPr>
              <w:t>3.</w:t>
            </w:r>
          </w:p>
        </w:tc>
        <w:tc>
          <w:tcPr>
            <w:tcW w:type="dxa" w:w="2890"/>
          </w:tcPr>
          <w:p>
            <w:pPr>
              <w:jc w:val="left"/>
            </w:pPr>
            <w:r>
              <w:rPr>
                <w:rFonts w:ascii="Times New Roman" w:hAnsi="Times New Roman"/>
                <w:b w:val="0"/>
                <w:i w:val="0"/>
                <w:sz w:val="22"/>
              </w:rPr>
              <w:t>Sakshi Bhandare</w:t>
            </w:r>
          </w:p>
        </w:tc>
        <w:tc>
          <w:tcPr>
            <w:tcW w:type="dxa" w:w="2890"/>
          </w:tcPr>
          <w:p>
            <w:pPr>
              <w:jc w:val="center"/>
            </w:pPr>
            <w:r>
              <w:rPr>
                <w:rFonts w:ascii="Times New Roman" w:hAnsi="Times New Roman"/>
                <w:b w:val="0"/>
                <w:i w:val="0"/>
                <w:sz w:val="22"/>
              </w:rPr>
              <w:t>123A7007</w:t>
            </w:r>
          </w:p>
        </w:tc>
      </w:tr>
    </w:tbl>
    <w:p>
      <w:pPr>
        <w:spacing w:before="120"/>
      </w:pPr>
    </w:p>
    <w:p>
      <w:pPr>
        <w:spacing w:before="0" w:after="120" w:line="360" w:lineRule="auto"/>
        <w:jc w:val="both"/>
        <w:jc w:val="both"/>
      </w:pPr>
      <w:r>
        <w:rPr>
          <w:rFonts w:ascii="Times New Roman" w:hAnsi="Times New Roman"/>
          <w:b w:val="0"/>
          <w:i w:val="0"/>
          <w:sz w:val="24"/>
        </w:rPr>
        <w:t>The report is submitted in partial fulfillment of the degree course of Bachelor of Engineering in Computer Engineering, of SIES Graduate School of Technology during the academic year 2026–27.</w:t>
      </w:r>
    </w:p>
    <w:p>
      <w:pPr>
        <w:spacing w:before="360"/>
      </w:pPr>
    </w:p>
    <w:tbl>
      <w:tblPr>
        <w:tblW w:type="auto" w:w="0"/>
        <w:jc w:val="center"/>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rPr>
              <w:t>_____________________</w:t>
              <w:br/>
              <w:t>Internal Guide</w:t>
            </w:r>
          </w:p>
        </w:tc>
        <w:tc>
          <w:tcPr>
            <w:tcW w:type="dxa" w:w="2890"/>
          </w:tcPr>
          <w:p>
            <w:pPr>
              <w:jc w:val="center"/>
            </w:pPr>
            <w:r>
              <w:rPr>
                <w:rFonts w:ascii="Times New Roman" w:hAnsi="Times New Roman"/>
                <w:b/>
                <w:i w:val="0"/>
                <w:sz w:val="22"/>
              </w:rPr>
              <w:t>_____________________</w:t>
              <w:br/>
              <w:t>Head of Department</w:t>
            </w:r>
          </w:p>
        </w:tc>
        <w:tc>
          <w:tcPr>
            <w:tcW w:type="dxa" w:w="2890"/>
          </w:tcPr>
          <w:p>
            <w:pPr>
              <w:jc w:val="center"/>
            </w:pPr>
            <w:r>
              <w:rPr>
                <w:rFonts w:ascii="Times New Roman" w:hAnsi="Times New Roman"/>
                <w:b/>
                <w:i w:val="0"/>
                <w:sz w:val="22"/>
              </w:rPr>
              <w:t>_____________________</w:t>
              <w:br/>
              <w:t>Principal</w:t>
            </w:r>
          </w:p>
        </w:tc>
      </w:tr>
      <w:tr>
        <w:tc>
          <w:tcPr>
            <w:tcW w:type="dxa" w:w="2890"/>
          </w:tcPr>
          <w:p/>
        </w:tc>
        <w:tc>
          <w:tcPr>
            <w:tcW w:type="dxa" w:w="2890"/>
          </w:tcPr>
          <w:p/>
        </w:tc>
        <w:tc>
          <w:tcPr>
            <w:tcW w:type="dxa" w:w="2890"/>
          </w:tcPr>
          <w:p/>
        </w:tc>
      </w:tr>
    </w:tbl>
    <w:p>
      <w:pPr>
        <w:spacing w:before="360"/>
      </w:pPr>
    </w:p>
    <w:p>
      <w:pPr>
        <w:spacing w:before="0" w:after="120" w:line="360" w:lineRule="auto"/>
        <w:jc w:val="both"/>
        <w:jc w:val="both"/>
      </w:pPr>
      <w:r>
        <w:rPr>
          <w:rFonts w:ascii="Times New Roman" w:hAnsi="Times New Roman"/>
          <w:b w:val="0"/>
          <w:i w:val="0"/>
          <w:sz w:val="24"/>
        </w:rPr>
        <w:t>We have examined this report as per requirements at SIES Graduate School of Technology, Nerul (East), Navi Mumbai on ____________________.</w:t>
      </w:r>
    </w:p>
    <w:p>
      <w:pPr>
        <w:spacing w:before="240" w:after="80"/>
      </w:pPr>
      <w:r>
        <w:rPr>
          <w:rFonts w:ascii="Times New Roman" w:hAnsi="Times New Roman"/>
          <w:b w:val="0"/>
          <w:i w:val="0"/>
          <w:sz w:val="22"/>
        </w:rPr>
        <w:t>Name of External Examiner: ___________________________________________</w:t>
      </w:r>
    </w:p>
    <w:p>
      <w:pPr>
        <w:spacing w:after="240"/>
      </w:pPr>
      <w:r>
        <w:rPr>
          <w:rFonts w:ascii="Times New Roman" w:hAnsi="Times New Roman"/>
          <w:b w:val="0"/>
          <w:i w:val="0"/>
          <w:sz w:val="22"/>
        </w:rPr>
        <w:t>Signature with Date:        ___________________________________________</w:t>
      </w:r>
    </w:p>
    <w:p>
      <w:pPr>
        <w:spacing w:after="80"/>
      </w:pPr>
      <w:r>
        <w:rPr>
          <w:rFonts w:ascii="Times New Roman" w:hAnsi="Times New Roman"/>
          <w:b w:val="0"/>
          <w:i w:val="0"/>
          <w:sz w:val="22"/>
        </w:rPr>
        <w:t>Name of Internal Examiner: ___________________________________________</w:t>
      </w:r>
    </w:p>
    <w:p>
      <w:pPr>
        <w:spacing w:after="120"/>
      </w:pPr>
      <w:r>
        <w:rPr>
          <w:rFonts w:ascii="Times New Roman" w:hAnsi="Times New Roman"/>
          <w:b w:val="0"/>
          <w:i w:val="0"/>
          <w:sz w:val="22"/>
        </w:rPr>
        <w:t>Signature with Date:        ___________________________________________</w:t>
      </w:r>
    </w:p>
    <w:p>
      <w:r>
        <w:br w:type="page"/>
      </w:r>
    </w:p>
    <w:p>
      <w:pPr>
        <w:spacing w:before="240" w:after="360" w:line="276" w:lineRule="auto"/>
        <w:jc w:val="center"/>
      </w:pPr>
      <w:r>
        <w:rPr>
          <w:rFonts w:ascii="Times New Roman" w:hAnsi="Times New Roman"/>
          <w:b/>
          <w:i w:val="0"/>
          <w:sz w:val="30"/>
        </w:rPr>
        <w:t>ACKNOWLEDGEMENT</w:t>
      </w:r>
    </w:p>
    <w:p>
      <w:pPr>
        <w:spacing w:before="0" w:after="120" w:line="360" w:lineRule="auto"/>
        <w:jc w:val="both"/>
        <w:jc w:val="both"/>
      </w:pPr>
      <w:r>
        <w:rPr>
          <w:rFonts w:ascii="Times New Roman" w:hAnsi="Times New Roman"/>
          <w:b w:val="0"/>
          <w:i w:val="0"/>
          <w:sz w:val="24"/>
        </w:rPr>
        <w:t>We express our sincere gratitude and profound respect to our project guide, Prof. ___________________________, for their constant guidance, valuable suggestions, and continuous encouragement throughout the conceptualization and development of Stage-I of our major project. Their insightful feedback on federated learning architectures, cryptographic primitives, and rigorous research methodologies enabled us to overcome complex technical challenges and adhere to high standards of engineering excellence.</w:t>
      </w:r>
    </w:p>
    <w:p>
      <w:pPr>
        <w:spacing w:before="0" w:after="120" w:line="360" w:lineRule="auto"/>
        <w:jc w:val="both"/>
        <w:jc w:val="both"/>
      </w:pPr>
      <w:r>
        <w:rPr>
          <w:rFonts w:ascii="Times New Roman" w:hAnsi="Times New Roman"/>
          <w:b w:val="0"/>
          <w:i w:val="0"/>
          <w:sz w:val="24"/>
        </w:rPr>
        <w:t>We express our gratitude to Dr. Aparna Bannore, Head of the Department of Computer Engineering, and Dr. Atul Kemkar, Principal of SIES Graduate School of Technology, for providing us with the necessary computing infrastructure, laboratory facilities, and an encouraging academic environment.</w:t>
      </w:r>
    </w:p>
    <w:p>
      <w:pPr>
        <w:spacing w:before="0" w:after="120" w:line="360" w:lineRule="auto"/>
        <w:jc w:val="both"/>
        <w:jc w:val="both"/>
      </w:pPr>
      <w:r>
        <w:rPr>
          <w:rFonts w:ascii="Times New Roman" w:hAnsi="Times New Roman"/>
          <w:b w:val="0"/>
          <w:i w:val="0"/>
          <w:sz w:val="24"/>
        </w:rPr>
        <w:t>We are grateful to the University of Mumbai for framing a curriculum that emphasizes practical research and collaborative engineering. We also extend our heartfelt appreciation to the faculty members and laboratory staff of the Computer Engineering department for their technical assistance.</w:t>
      </w:r>
    </w:p>
    <w:p>
      <w:pPr>
        <w:spacing w:before="0" w:after="120" w:line="360" w:lineRule="auto"/>
        <w:jc w:val="both"/>
        <w:jc w:val="both"/>
      </w:pPr>
      <w:r>
        <w:rPr>
          <w:rFonts w:ascii="Times New Roman" w:hAnsi="Times New Roman"/>
          <w:b w:val="0"/>
          <w:i w:val="0"/>
          <w:sz w:val="24"/>
        </w:rPr>
        <w:t>Finally, we thank our parents, family members, and friends for their moral support, understanding, and continuous motivation throughout the course of this work.</w:t>
      </w:r>
    </w:p>
    <w:p>
      <w:pPr>
        <w:spacing w:before="480" w:after="80"/>
        <w:jc w:val="right"/>
      </w:pPr>
      <w:r>
        <w:rPr>
          <w:rFonts w:ascii="Times New Roman" w:hAnsi="Times New Roman"/>
          <w:b/>
          <w:i w:val="0"/>
          <w:sz w:val="22"/>
        </w:rPr>
        <w:t>Project Group Members:</w:t>
        <w:br/>
        <w:t>Ayush Lanke (123A7004)</w:t>
        <w:br/>
        <w:t>Bhumi Beloshe (123A7005)</w:t>
        <w:br/>
        <w:t>Sakshi Bhandare (123A7007)</w:t>
      </w:r>
    </w:p>
    <w:p>
      <w:r>
        <w:br w:type="page"/>
      </w:r>
    </w:p>
    <w:p>
      <w:pPr>
        <w:spacing w:before="240" w:after="360" w:line="276" w:lineRule="auto"/>
        <w:jc w:val="center"/>
      </w:pPr>
      <w:r>
        <w:rPr>
          <w:rFonts w:ascii="Times New Roman" w:hAnsi="Times New Roman"/>
          <w:b/>
          <w:i w:val="0"/>
          <w:sz w:val="30"/>
        </w:rPr>
        <w:t>CONTENTS</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0"/>
              </w:rPr>
              <w:t>Sr. No.</w:t>
            </w:r>
          </w:p>
        </w:tc>
        <w:tc>
          <w:tcPr>
            <w:tcW w:type="dxa" w:w="2890"/>
          </w:tcPr>
          <w:p>
            <w:pPr>
              <w:jc w:val="left"/>
            </w:pPr>
            <w:r>
              <w:rPr>
                <w:rFonts w:ascii="Times New Roman" w:hAnsi="Times New Roman"/>
                <w:b/>
                <w:i w:val="0"/>
                <w:sz w:val="20"/>
              </w:rPr>
              <w:t>Topic</w:t>
            </w:r>
          </w:p>
        </w:tc>
        <w:tc>
          <w:tcPr>
            <w:tcW w:type="dxa" w:w="2890"/>
          </w:tcPr>
          <w:p>
            <w:pPr>
              <w:jc w:val="center"/>
            </w:pPr>
            <w:r>
              <w:rPr>
                <w:rFonts w:ascii="Times New Roman" w:hAnsi="Times New Roman"/>
                <w:b/>
                <w:i w:val="0"/>
                <w:sz w:val="20"/>
              </w:rPr>
              <w:t>Page No.</w:t>
            </w:r>
          </w:p>
        </w:tc>
      </w:tr>
      <w:tr>
        <w:tc>
          <w:tcPr>
            <w:tcW w:type="dxa" w:w="2890"/>
          </w:tcPr>
          <w:p>
            <w:pPr>
              <w:jc w:val="center"/>
            </w:pPr>
            <w:r>
              <w:rPr>
                <w:rFonts w:ascii="Times New Roman" w:hAnsi="Times New Roman"/>
                <w:b w:val="0"/>
                <w:i w:val="0"/>
                <w:sz w:val="20"/>
              </w:rPr>
              <w:t>1.</w:t>
            </w:r>
          </w:p>
        </w:tc>
        <w:tc>
          <w:tcPr>
            <w:tcW w:type="dxa" w:w="2890"/>
          </w:tcPr>
          <w:p>
            <w:pPr>
              <w:jc w:val="left"/>
            </w:pPr>
            <w:r>
              <w:rPr>
                <w:rFonts w:ascii="Times New Roman" w:hAnsi="Times New Roman"/>
                <w:b/>
                <w:i w:val="0"/>
                <w:sz w:val="20"/>
              </w:rPr>
              <w:t>Abstract</w:t>
            </w:r>
          </w:p>
        </w:tc>
        <w:tc>
          <w:tcPr>
            <w:tcW w:type="dxa" w:w="2890"/>
          </w:tcPr>
          <w:p>
            <w:pPr>
              <w:jc w:val="center"/>
            </w:pPr>
            <w:r>
              <w:rPr>
                <w:rFonts w:ascii="Times New Roman" w:hAnsi="Times New Roman"/>
                <w:b w:val="0"/>
                <w:i w:val="0"/>
                <w:sz w:val="20"/>
              </w:rPr>
              <w:t>i</w:t>
            </w:r>
          </w:p>
        </w:tc>
      </w:tr>
      <w:tr>
        <w:tc>
          <w:tcPr>
            <w:tcW w:type="dxa" w:w="2890"/>
          </w:tcPr>
          <w:p>
            <w:pPr>
              <w:jc w:val="center"/>
            </w:pPr>
            <w:r>
              <w:rPr>
                <w:rFonts w:ascii="Times New Roman" w:hAnsi="Times New Roman"/>
                <w:b w:val="0"/>
                <w:i w:val="0"/>
                <w:sz w:val="20"/>
              </w:rPr>
              <w:t>2.</w:t>
            </w:r>
          </w:p>
        </w:tc>
        <w:tc>
          <w:tcPr>
            <w:tcW w:type="dxa" w:w="2890"/>
          </w:tcPr>
          <w:p>
            <w:pPr>
              <w:jc w:val="left"/>
            </w:pPr>
            <w:r>
              <w:rPr>
                <w:rFonts w:ascii="Times New Roman" w:hAnsi="Times New Roman"/>
                <w:b w:val="0"/>
                <w:i w:val="0"/>
                <w:sz w:val="20"/>
              </w:rPr>
              <w:t>List of Tables</w:t>
            </w:r>
          </w:p>
        </w:tc>
        <w:tc>
          <w:tcPr>
            <w:tcW w:type="dxa" w:w="2890"/>
          </w:tcPr>
          <w:p>
            <w:pPr>
              <w:jc w:val="center"/>
            </w:pPr>
            <w:r>
              <w:rPr>
                <w:rFonts w:ascii="Times New Roman" w:hAnsi="Times New Roman"/>
                <w:b w:val="0"/>
                <w:i w:val="0"/>
                <w:sz w:val="20"/>
              </w:rPr>
              <w:t>ii</w:t>
            </w:r>
          </w:p>
        </w:tc>
      </w:tr>
      <w:tr>
        <w:tc>
          <w:tcPr>
            <w:tcW w:type="dxa" w:w="2890"/>
          </w:tcPr>
          <w:p>
            <w:pPr>
              <w:jc w:val="center"/>
            </w:pPr>
            <w:r>
              <w:rPr>
                <w:rFonts w:ascii="Times New Roman" w:hAnsi="Times New Roman"/>
                <w:b w:val="0"/>
                <w:i w:val="0"/>
                <w:sz w:val="20"/>
              </w:rPr>
              <w:t>3.</w:t>
            </w:r>
          </w:p>
        </w:tc>
        <w:tc>
          <w:tcPr>
            <w:tcW w:type="dxa" w:w="2890"/>
          </w:tcPr>
          <w:p>
            <w:pPr>
              <w:jc w:val="left"/>
            </w:pPr>
            <w:r>
              <w:rPr>
                <w:rFonts w:ascii="Times New Roman" w:hAnsi="Times New Roman"/>
                <w:b w:val="0"/>
                <w:i w:val="0"/>
                <w:sz w:val="20"/>
              </w:rPr>
              <w:t>List of Figures</w:t>
            </w:r>
          </w:p>
        </w:tc>
        <w:tc>
          <w:tcPr>
            <w:tcW w:type="dxa" w:w="2890"/>
          </w:tcPr>
          <w:p>
            <w:pPr>
              <w:jc w:val="center"/>
            </w:pPr>
            <w:r>
              <w:rPr>
                <w:rFonts w:ascii="Times New Roman" w:hAnsi="Times New Roman"/>
                <w:b w:val="0"/>
                <w:i w:val="0"/>
                <w:sz w:val="20"/>
              </w:rPr>
              <w:t>iii</w:t>
            </w:r>
          </w:p>
        </w:tc>
      </w:tr>
      <w:tr>
        <w:tc>
          <w:tcPr>
            <w:tcW w:type="dxa" w:w="2890"/>
          </w:tcPr>
          <w:p>
            <w:pPr>
              <w:jc w:val="center"/>
            </w:pPr>
            <w:r>
              <w:rPr>
                <w:rFonts w:ascii="Times New Roman" w:hAnsi="Times New Roman"/>
                <w:b w:val="0"/>
                <w:i w:val="0"/>
                <w:sz w:val="20"/>
              </w:rPr>
              <w:t>4.</w:t>
            </w:r>
          </w:p>
        </w:tc>
        <w:tc>
          <w:tcPr>
            <w:tcW w:type="dxa" w:w="2890"/>
          </w:tcPr>
          <w:p>
            <w:pPr>
              <w:jc w:val="left"/>
            </w:pPr>
            <w:r>
              <w:rPr>
                <w:rFonts w:ascii="Times New Roman" w:hAnsi="Times New Roman"/>
                <w:b/>
                <w:i w:val="0"/>
                <w:sz w:val="20"/>
              </w:rPr>
              <w:t>Chapter 1 – Introduction</w:t>
            </w:r>
          </w:p>
        </w:tc>
        <w:tc>
          <w:tcPr>
            <w:tcW w:type="dxa" w:w="2890"/>
          </w:tcPr>
          <w:p>
            <w:pPr>
              <w:jc w:val="center"/>
            </w:pPr>
            <w:r>
              <w:rPr>
                <w:rFonts w:ascii="Times New Roman" w:hAnsi="Times New Roman"/>
                <w:b w:val="0"/>
                <w:i w:val="0"/>
                <w:sz w:val="20"/>
              </w:rPr>
              <w:t>1</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1.1 Need and Motivation of the Project</w:t>
            </w:r>
          </w:p>
        </w:tc>
        <w:tc>
          <w:tcPr>
            <w:tcW w:type="dxa" w:w="2890"/>
          </w:tcPr>
          <w:p>
            <w:pPr>
              <w:jc w:val="center"/>
            </w:pPr>
            <w:r>
              <w:rPr>
                <w:rFonts w:ascii="Times New Roman" w:hAnsi="Times New Roman"/>
                <w:b w:val="0"/>
                <w:i w:val="0"/>
                <w:sz w:val="20"/>
              </w:rPr>
              <w:t>1</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1.2 Existing Systems and Their Limitations</w:t>
            </w:r>
          </w:p>
        </w:tc>
        <w:tc>
          <w:tcPr>
            <w:tcW w:type="dxa" w:w="2890"/>
          </w:tcPr>
          <w:p>
            <w:pPr>
              <w:jc w:val="center"/>
            </w:pPr>
            <w:r>
              <w:rPr>
                <w:rFonts w:ascii="Times New Roman" w:hAnsi="Times New Roman"/>
                <w:b w:val="0"/>
                <w:i w:val="0"/>
                <w:sz w:val="20"/>
              </w:rPr>
              <w:t>2</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1.3 Proposed System (Broad Problem Definition)</w:t>
            </w:r>
          </w:p>
        </w:tc>
        <w:tc>
          <w:tcPr>
            <w:tcW w:type="dxa" w:w="2890"/>
          </w:tcPr>
          <w:p>
            <w:pPr>
              <w:jc w:val="center"/>
            </w:pPr>
            <w:r>
              <w:rPr>
                <w:rFonts w:ascii="Times New Roman" w:hAnsi="Times New Roman"/>
                <w:b w:val="0"/>
                <w:i w:val="0"/>
                <w:sz w:val="20"/>
              </w:rPr>
              <w:t>3</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1.4 Objectives of the Project</w:t>
            </w:r>
          </w:p>
        </w:tc>
        <w:tc>
          <w:tcPr>
            <w:tcW w:type="dxa" w:w="2890"/>
          </w:tcPr>
          <w:p>
            <w:pPr>
              <w:jc w:val="center"/>
            </w:pPr>
            <w:r>
              <w:rPr>
                <w:rFonts w:ascii="Times New Roman" w:hAnsi="Times New Roman"/>
                <w:b w:val="0"/>
                <w:i w:val="0"/>
                <w:sz w:val="20"/>
              </w:rPr>
              <w:t>4</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1.5 Scope of the Project</w:t>
            </w:r>
          </w:p>
        </w:tc>
        <w:tc>
          <w:tcPr>
            <w:tcW w:type="dxa" w:w="2890"/>
          </w:tcPr>
          <w:p>
            <w:pPr>
              <w:jc w:val="center"/>
            </w:pPr>
            <w:r>
              <w:rPr>
                <w:rFonts w:ascii="Times New Roman" w:hAnsi="Times New Roman"/>
                <w:b w:val="0"/>
                <w:i w:val="0"/>
                <w:sz w:val="20"/>
              </w:rPr>
              <w:t>4</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1.6 Practical Applications</w:t>
            </w:r>
          </w:p>
        </w:tc>
        <w:tc>
          <w:tcPr>
            <w:tcW w:type="dxa" w:w="2890"/>
          </w:tcPr>
          <w:p>
            <w:pPr>
              <w:jc w:val="center"/>
            </w:pPr>
            <w:r>
              <w:rPr>
                <w:rFonts w:ascii="Times New Roman" w:hAnsi="Times New Roman"/>
                <w:b w:val="0"/>
                <w:i w:val="0"/>
                <w:sz w:val="20"/>
              </w:rPr>
              <w:t>5</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1.7 Organization of the Report</w:t>
            </w:r>
          </w:p>
        </w:tc>
        <w:tc>
          <w:tcPr>
            <w:tcW w:type="dxa" w:w="2890"/>
          </w:tcPr>
          <w:p>
            <w:pPr>
              <w:jc w:val="center"/>
            </w:pPr>
            <w:r>
              <w:rPr>
                <w:rFonts w:ascii="Times New Roman" w:hAnsi="Times New Roman"/>
                <w:b w:val="0"/>
                <w:i w:val="0"/>
                <w:sz w:val="20"/>
              </w:rPr>
              <w:t>5</w:t>
            </w:r>
          </w:p>
        </w:tc>
      </w:tr>
      <w:tr>
        <w:tc>
          <w:tcPr>
            <w:tcW w:type="dxa" w:w="2890"/>
          </w:tcPr>
          <w:p>
            <w:pPr>
              <w:jc w:val="center"/>
            </w:pPr>
            <w:r>
              <w:rPr>
                <w:rFonts w:ascii="Times New Roman" w:hAnsi="Times New Roman"/>
                <w:b w:val="0"/>
                <w:i w:val="0"/>
                <w:sz w:val="20"/>
              </w:rPr>
              <w:t>5.</w:t>
            </w:r>
          </w:p>
        </w:tc>
        <w:tc>
          <w:tcPr>
            <w:tcW w:type="dxa" w:w="2890"/>
          </w:tcPr>
          <w:p>
            <w:pPr>
              <w:jc w:val="left"/>
            </w:pPr>
            <w:r>
              <w:rPr>
                <w:rFonts w:ascii="Times New Roman" w:hAnsi="Times New Roman"/>
                <w:b/>
                <w:i w:val="0"/>
                <w:sz w:val="20"/>
              </w:rPr>
              <w:t>Chapter 2 – Literature Survey</w:t>
            </w:r>
          </w:p>
        </w:tc>
        <w:tc>
          <w:tcPr>
            <w:tcW w:type="dxa" w:w="2890"/>
          </w:tcPr>
          <w:p>
            <w:pPr>
              <w:jc w:val="center"/>
            </w:pPr>
            <w:r>
              <w:rPr>
                <w:rFonts w:ascii="Times New Roman" w:hAnsi="Times New Roman"/>
                <w:b w:val="0"/>
                <w:i w:val="0"/>
                <w:sz w:val="20"/>
              </w:rPr>
              <w:t>6</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2.1 Foundations of Federated Learning</w:t>
            </w:r>
          </w:p>
        </w:tc>
        <w:tc>
          <w:tcPr>
            <w:tcW w:type="dxa" w:w="2890"/>
          </w:tcPr>
          <w:p>
            <w:pPr>
              <w:jc w:val="center"/>
            </w:pPr>
            <w:r>
              <w:rPr>
                <w:rFonts w:ascii="Times New Roman" w:hAnsi="Times New Roman"/>
                <w:b w:val="0"/>
                <w:i w:val="0"/>
                <w:sz w:val="20"/>
              </w:rPr>
              <w:t>6</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2.2 Secure Aggregation Protocols and the Accountability Trade-off</w:t>
            </w:r>
          </w:p>
        </w:tc>
        <w:tc>
          <w:tcPr>
            <w:tcW w:type="dxa" w:w="2890"/>
          </w:tcPr>
          <w:p>
            <w:pPr>
              <w:jc w:val="center"/>
            </w:pPr>
            <w:r>
              <w:rPr>
                <w:rFonts w:ascii="Times New Roman" w:hAnsi="Times New Roman"/>
                <w:b w:val="0"/>
                <w:i w:val="0"/>
                <w:sz w:val="20"/>
              </w:rPr>
              <w:t>7</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2.3 Byzantine Robustness in Federated Learning</w:t>
            </w:r>
          </w:p>
        </w:tc>
        <w:tc>
          <w:tcPr>
            <w:tcW w:type="dxa" w:w="2890"/>
          </w:tcPr>
          <w:p>
            <w:pPr>
              <w:jc w:val="center"/>
            </w:pPr>
            <w:r>
              <w:rPr>
                <w:rFonts w:ascii="Times New Roman" w:hAnsi="Times New Roman"/>
                <w:b w:val="0"/>
                <w:i w:val="0"/>
                <w:sz w:val="20"/>
              </w:rPr>
              <w:t>8</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2.4 Systematization of Verifiable Federated Learning</w:t>
            </w:r>
          </w:p>
        </w:tc>
        <w:tc>
          <w:tcPr>
            <w:tcW w:type="dxa" w:w="2890"/>
          </w:tcPr>
          <w:p>
            <w:pPr>
              <w:jc w:val="center"/>
            </w:pPr>
            <w:r>
              <w:rPr>
                <w:rFonts w:ascii="Times New Roman" w:hAnsi="Times New Roman"/>
                <w:b w:val="0"/>
                <w:i w:val="0"/>
                <w:sz w:val="20"/>
              </w:rPr>
              <w:t>9</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2.5 Merkle Audit Logs and Transparency Systems</w:t>
            </w:r>
          </w:p>
        </w:tc>
        <w:tc>
          <w:tcPr>
            <w:tcW w:type="dxa" w:w="2890"/>
          </w:tcPr>
          <w:p>
            <w:pPr>
              <w:jc w:val="center"/>
            </w:pPr>
            <w:r>
              <w:rPr>
                <w:rFonts w:ascii="Times New Roman" w:hAnsi="Times New Roman"/>
                <w:b w:val="0"/>
                <w:i w:val="0"/>
                <w:sz w:val="20"/>
              </w:rPr>
              <w:t>10</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2.6 Summary of Literature Gap</w:t>
            </w:r>
          </w:p>
        </w:tc>
        <w:tc>
          <w:tcPr>
            <w:tcW w:type="dxa" w:w="2890"/>
          </w:tcPr>
          <w:p>
            <w:pPr>
              <w:jc w:val="center"/>
            </w:pPr>
            <w:r>
              <w:rPr>
                <w:rFonts w:ascii="Times New Roman" w:hAnsi="Times New Roman"/>
                <w:b w:val="0"/>
                <w:i w:val="0"/>
                <w:sz w:val="20"/>
              </w:rPr>
              <w:t>11</w:t>
            </w:r>
          </w:p>
        </w:tc>
      </w:tr>
      <w:tr>
        <w:tc>
          <w:tcPr>
            <w:tcW w:type="dxa" w:w="2890"/>
          </w:tcPr>
          <w:p>
            <w:pPr>
              <w:jc w:val="center"/>
            </w:pPr>
            <w:r>
              <w:rPr>
                <w:rFonts w:ascii="Times New Roman" w:hAnsi="Times New Roman"/>
                <w:b w:val="0"/>
                <w:i w:val="0"/>
                <w:sz w:val="20"/>
              </w:rPr>
              <w:t>6.</w:t>
            </w:r>
          </w:p>
        </w:tc>
        <w:tc>
          <w:tcPr>
            <w:tcW w:type="dxa" w:w="2890"/>
          </w:tcPr>
          <w:p>
            <w:pPr>
              <w:jc w:val="left"/>
            </w:pPr>
            <w:r>
              <w:rPr>
                <w:rFonts w:ascii="Times New Roman" w:hAnsi="Times New Roman"/>
                <w:b/>
                <w:i w:val="0"/>
                <w:sz w:val="20"/>
              </w:rPr>
              <w:t>Chapter 3 – Problem Definition and System Design</w:t>
            </w:r>
          </w:p>
        </w:tc>
        <w:tc>
          <w:tcPr>
            <w:tcW w:type="dxa" w:w="2890"/>
          </w:tcPr>
          <w:p>
            <w:pPr>
              <w:jc w:val="center"/>
            </w:pPr>
            <w:r>
              <w:rPr>
                <w:rFonts w:ascii="Times New Roman" w:hAnsi="Times New Roman"/>
                <w:b w:val="0"/>
                <w:i w:val="0"/>
                <w:sz w:val="20"/>
              </w:rPr>
              <w:t>12</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3.1 Precise Research Question</w:t>
            </w:r>
          </w:p>
        </w:tc>
        <w:tc>
          <w:tcPr>
            <w:tcW w:type="dxa" w:w="2890"/>
          </w:tcPr>
          <w:p>
            <w:pPr>
              <w:jc w:val="center"/>
            </w:pPr>
            <w:r>
              <w:rPr>
                <w:rFonts w:ascii="Times New Roman" w:hAnsi="Times New Roman"/>
                <w:b w:val="0"/>
                <w:i w:val="0"/>
                <w:sz w:val="20"/>
              </w:rPr>
              <w:t>12</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3.2 Falsifiable Research Hypothesis</w:t>
            </w:r>
          </w:p>
        </w:tc>
        <w:tc>
          <w:tcPr>
            <w:tcW w:type="dxa" w:w="2890"/>
          </w:tcPr>
          <w:p>
            <w:pPr>
              <w:jc w:val="center"/>
            </w:pPr>
            <w:r>
              <w:rPr>
                <w:rFonts w:ascii="Times New Roman" w:hAnsi="Times New Roman"/>
                <w:b w:val="0"/>
                <w:i w:val="0"/>
                <w:sz w:val="20"/>
              </w:rPr>
              <w:t>12</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3.3 Trust Model and Threat Model</w:t>
            </w:r>
          </w:p>
        </w:tc>
        <w:tc>
          <w:tcPr>
            <w:tcW w:type="dxa" w:w="2890"/>
          </w:tcPr>
          <w:p>
            <w:pPr>
              <w:jc w:val="center"/>
            </w:pPr>
            <w:r>
              <w:rPr>
                <w:rFonts w:ascii="Times New Roman" w:hAnsi="Times New Roman"/>
                <w:b w:val="0"/>
                <w:i w:val="0"/>
                <w:sz w:val="20"/>
              </w:rPr>
              <w:t>13</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3.4 Functional and Non-Functional Requirements</w:t>
            </w:r>
          </w:p>
        </w:tc>
        <w:tc>
          <w:tcPr>
            <w:tcW w:type="dxa" w:w="2890"/>
          </w:tcPr>
          <w:p>
            <w:pPr>
              <w:jc w:val="center"/>
            </w:pPr>
            <w:r>
              <w:rPr>
                <w:rFonts w:ascii="Times New Roman" w:hAnsi="Times New Roman"/>
                <w:b w:val="0"/>
                <w:i w:val="0"/>
                <w:sz w:val="20"/>
              </w:rPr>
              <w:t>14</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3.5 System Architecture and Component Specifications</w:t>
            </w:r>
          </w:p>
        </w:tc>
        <w:tc>
          <w:tcPr>
            <w:tcW w:type="dxa" w:w="2890"/>
          </w:tcPr>
          <w:p>
            <w:pPr>
              <w:jc w:val="center"/>
            </w:pPr>
            <w:r>
              <w:rPr>
                <w:rFonts w:ascii="Times New Roman" w:hAnsi="Times New Roman"/>
                <w:b w:val="0"/>
                <w:i w:val="0"/>
                <w:sz w:val="20"/>
              </w:rPr>
              <w:t>15</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3.6 Protocol Execution Flow and Canonical Schemas</w:t>
            </w:r>
          </w:p>
        </w:tc>
        <w:tc>
          <w:tcPr>
            <w:tcW w:type="dxa" w:w="2890"/>
          </w:tcPr>
          <w:p>
            <w:pPr>
              <w:jc w:val="center"/>
            </w:pPr>
            <w:r>
              <w:rPr>
                <w:rFonts w:ascii="Times New Roman" w:hAnsi="Times New Roman"/>
                <w:b w:val="0"/>
                <w:i w:val="0"/>
                <w:sz w:val="20"/>
              </w:rPr>
              <w:t>17</w:t>
            </w:r>
          </w:p>
        </w:tc>
      </w:tr>
      <w:tr>
        <w:tc>
          <w:tcPr>
            <w:tcW w:type="dxa" w:w="2890"/>
          </w:tcPr>
          <w:p>
            <w:pPr>
              <w:jc w:val="center"/>
            </w:pPr>
            <w:r>
              <w:rPr>
                <w:rFonts w:ascii="Times New Roman" w:hAnsi="Times New Roman"/>
                <w:b w:val="0"/>
                <w:i w:val="0"/>
                <w:sz w:val="20"/>
              </w:rPr>
              <w:t>7.</w:t>
            </w:r>
          </w:p>
        </w:tc>
        <w:tc>
          <w:tcPr>
            <w:tcW w:type="dxa" w:w="2890"/>
          </w:tcPr>
          <w:p>
            <w:pPr>
              <w:jc w:val="left"/>
            </w:pPr>
            <w:r>
              <w:rPr>
                <w:rFonts w:ascii="Times New Roman" w:hAnsi="Times New Roman"/>
                <w:b/>
                <w:i w:val="0"/>
                <w:sz w:val="20"/>
              </w:rPr>
              <w:t>Chapter 4 – Experimental Work and Design</w:t>
            </w:r>
          </w:p>
        </w:tc>
        <w:tc>
          <w:tcPr>
            <w:tcW w:type="dxa" w:w="2890"/>
          </w:tcPr>
          <w:p>
            <w:pPr>
              <w:jc w:val="center"/>
            </w:pPr>
            <w:r>
              <w:rPr>
                <w:rFonts w:ascii="Times New Roman" w:hAnsi="Times New Roman"/>
                <w:b w:val="0"/>
                <w:i w:val="0"/>
                <w:sz w:val="20"/>
              </w:rPr>
              <w:t>19</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4.1 Core Implementation Work Done in Stage-I</w:t>
            </w:r>
          </w:p>
        </w:tc>
        <w:tc>
          <w:tcPr>
            <w:tcW w:type="dxa" w:w="2890"/>
          </w:tcPr>
          <w:p>
            <w:pPr>
              <w:jc w:val="center"/>
            </w:pPr>
            <w:r>
              <w:rPr>
                <w:rFonts w:ascii="Times New Roman" w:hAnsi="Times New Roman"/>
                <w:b w:val="0"/>
                <w:i w:val="0"/>
                <w:sz w:val="20"/>
              </w:rPr>
              <w:t>19</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4.2 Benchmark Experiment E-1: Verification Cost vs. Model Size</w:t>
            </w:r>
          </w:p>
        </w:tc>
        <w:tc>
          <w:tcPr>
            <w:tcW w:type="dxa" w:w="2890"/>
          </w:tcPr>
          <w:p>
            <w:pPr>
              <w:jc w:val="center"/>
            </w:pPr>
            <w:r>
              <w:rPr>
                <w:rFonts w:ascii="Times New Roman" w:hAnsi="Times New Roman"/>
                <w:b w:val="0"/>
                <w:i w:val="0"/>
                <w:sz w:val="20"/>
              </w:rPr>
              <w:t>21</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4.3 Benchmark Experiment E-2: Comprehensive Tamper Detection</w:t>
            </w:r>
          </w:p>
        </w:tc>
        <w:tc>
          <w:tcPr>
            <w:tcW w:type="dxa" w:w="2890"/>
          </w:tcPr>
          <w:p>
            <w:pPr>
              <w:jc w:val="center"/>
            </w:pPr>
            <w:r>
              <w:rPr>
                <w:rFonts w:ascii="Times New Roman" w:hAnsi="Times New Roman"/>
                <w:b w:val="0"/>
                <w:i w:val="0"/>
                <w:sz w:val="20"/>
              </w:rPr>
              <w:t>22</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4.4 Benchmark Experiment E-3: Committee Corruption Dynamics</w:t>
            </w:r>
          </w:p>
        </w:tc>
        <w:tc>
          <w:tcPr>
            <w:tcW w:type="dxa" w:w="2890"/>
          </w:tcPr>
          <w:p>
            <w:pPr>
              <w:jc w:val="center"/>
            </w:pPr>
            <w:r>
              <w:rPr>
                <w:rFonts w:ascii="Times New Roman" w:hAnsi="Times New Roman"/>
                <w:b w:val="0"/>
                <w:i w:val="0"/>
                <w:sz w:val="20"/>
              </w:rPr>
              <w:t>24</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4.5 Benchmark Experiments E-4 and E-5: Privacy-Detection Trade-off</w:t>
            </w:r>
          </w:p>
        </w:tc>
        <w:tc>
          <w:tcPr>
            <w:tcW w:type="dxa" w:w="2890"/>
          </w:tcPr>
          <w:p>
            <w:pPr>
              <w:jc w:val="center"/>
            </w:pPr>
            <w:r>
              <w:rPr>
                <w:rFonts w:ascii="Times New Roman" w:hAnsi="Times New Roman"/>
                <w:b w:val="0"/>
                <w:i w:val="0"/>
                <w:sz w:val="20"/>
              </w:rPr>
              <w:t>25</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4.6 Testing Strategy and Test Case Execution (366 Tests, 99% Coverage)</w:t>
            </w:r>
          </w:p>
        </w:tc>
        <w:tc>
          <w:tcPr>
            <w:tcW w:type="dxa" w:w="2890"/>
          </w:tcPr>
          <w:p>
            <w:pPr>
              <w:jc w:val="center"/>
            </w:pPr>
            <w:r>
              <w:rPr>
                <w:rFonts w:ascii="Times New Roman" w:hAnsi="Times New Roman"/>
                <w:b w:val="0"/>
                <w:i w:val="0"/>
                <w:sz w:val="20"/>
              </w:rPr>
              <w:t>27</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4.7 Planned Tasks for Stage-II</w:t>
            </w:r>
          </w:p>
        </w:tc>
        <w:tc>
          <w:tcPr>
            <w:tcW w:type="dxa" w:w="2890"/>
          </w:tcPr>
          <w:p>
            <w:pPr>
              <w:jc w:val="center"/>
            </w:pPr>
            <w:r>
              <w:rPr>
                <w:rFonts w:ascii="Times New Roman" w:hAnsi="Times New Roman"/>
                <w:b w:val="0"/>
                <w:i w:val="0"/>
                <w:sz w:val="20"/>
              </w:rPr>
              <w:t>28</w:t>
            </w:r>
          </w:p>
        </w:tc>
      </w:tr>
      <w:tr>
        <w:tc>
          <w:tcPr>
            <w:tcW w:type="dxa" w:w="2890"/>
          </w:tcPr>
          <w:p>
            <w:pPr>
              <w:jc w:val="center"/>
            </w:pPr>
            <w:r>
              <w:rPr>
                <w:rFonts w:ascii="Times New Roman" w:hAnsi="Times New Roman"/>
                <w:b w:val="0"/>
                <w:i w:val="0"/>
                <w:sz w:val="20"/>
              </w:rPr>
              <w:t>8.</w:t>
            </w:r>
          </w:p>
        </w:tc>
        <w:tc>
          <w:tcPr>
            <w:tcW w:type="dxa" w:w="2890"/>
          </w:tcPr>
          <w:p>
            <w:pPr>
              <w:jc w:val="left"/>
            </w:pPr>
            <w:r>
              <w:rPr>
                <w:rFonts w:ascii="Times New Roman" w:hAnsi="Times New Roman"/>
                <w:b/>
                <w:i w:val="0"/>
                <w:sz w:val="20"/>
              </w:rPr>
              <w:t>Chapter 5 – Conclusion</w:t>
            </w:r>
          </w:p>
        </w:tc>
        <w:tc>
          <w:tcPr>
            <w:tcW w:type="dxa" w:w="2890"/>
          </w:tcPr>
          <w:p>
            <w:pPr>
              <w:jc w:val="center"/>
            </w:pPr>
            <w:r>
              <w:rPr>
                <w:rFonts w:ascii="Times New Roman" w:hAnsi="Times New Roman"/>
                <w:b w:val="0"/>
                <w:i w:val="0"/>
                <w:sz w:val="20"/>
              </w:rPr>
              <w:t>30</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5.1 Concluding Remarks on Stage-I Findings</w:t>
            </w:r>
          </w:p>
        </w:tc>
        <w:tc>
          <w:tcPr>
            <w:tcW w:type="dxa" w:w="2890"/>
          </w:tcPr>
          <w:p>
            <w:pPr>
              <w:jc w:val="center"/>
            </w:pPr>
            <w:r>
              <w:rPr>
                <w:rFonts w:ascii="Times New Roman" w:hAnsi="Times New Roman"/>
                <w:b w:val="0"/>
                <w:i w:val="0"/>
                <w:sz w:val="20"/>
              </w:rPr>
              <w:t>30</w:t>
            </w:r>
          </w:p>
        </w:tc>
      </w:tr>
      <w:tr>
        <w:tc>
          <w:tcPr>
            <w:tcW w:type="dxa" w:w="2890"/>
          </w:tcPr>
          <w:p>
            <w:pPr>
              <w:jc w:val="center"/>
            </w:pPr>
            <w:r>
              <w:rPr>
                <w:rFonts w:ascii="Times New Roman" w:hAnsi="Times New Roman"/>
                <w:b w:val="0"/>
                <w:i w:val="0"/>
                <w:sz w:val="20"/>
              </w:rPr>
            </w:r>
          </w:p>
        </w:tc>
        <w:tc>
          <w:tcPr>
            <w:tcW w:type="dxa" w:w="2890"/>
          </w:tcPr>
          <w:p>
            <w:pPr>
              <w:jc w:val="left"/>
            </w:pPr>
            <w:r>
              <w:rPr>
                <w:rFonts w:ascii="Times New Roman" w:hAnsi="Times New Roman"/>
                <w:b w:val="0"/>
                <w:i w:val="0"/>
                <w:sz w:val="20"/>
              </w:rPr>
              <w:t xml:space="preserve">    5.2 Future Scope for Stage-II</w:t>
            </w:r>
          </w:p>
        </w:tc>
        <w:tc>
          <w:tcPr>
            <w:tcW w:type="dxa" w:w="2890"/>
          </w:tcPr>
          <w:p>
            <w:pPr>
              <w:jc w:val="center"/>
            </w:pPr>
            <w:r>
              <w:rPr>
                <w:rFonts w:ascii="Times New Roman" w:hAnsi="Times New Roman"/>
                <w:b w:val="0"/>
                <w:i w:val="0"/>
                <w:sz w:val="20"/>
              </w:rPr>
              <w:t>31</w:t>
            </w:r>
          </w:p>
        </w:tc>
      </w:tr>
      <w:tr>
        <w:tc>
          <w:tcPr>
            <w:tcW w:type="dxa" w:w="2890"/>
          </w:tcPr>
          <w:p>
            <w:pPr>
              <w:jc w:val="center"/>
            </w:pPr>
            <w:r>
              <w:rPr>
                <w:rFonts w:ascii="Times New Roman" w:hAnsi="Times New Roman"/>
                <w:b w:val="0"/>
                <w:i w:val="0"/>
                <w:sz w:val="20"/>
              </w:rPr>
              <w:t>9.</w:t>
            </w:r>
          </w:p>
        </w:tc>
        <w:tc>
          <w:tcPr>
            <w:tcW w:type="dxa" w:w="2890"/>
          </w:tcPr>
          <w:p>
            <w:pPr>
              <w:jc w:val="left"/>
            </w:pPr>
            <w:r>
              <w:rPr>
                <w:rFonts w:ascii="Times New Roman" w:hAnsi="Times New Roman"/>
                <w:b/>
                <w:i w:val="0"/>
                <w:sz w:val="20"/>
              </w:rPr>
              <w:t>References</w:t>
            </w:r>
          </w:p>
        </w:tc>
        <w:tc>
          <w:tcPr>
            <w:tcW w:type="dxa" w:w="2890"/>
          </w:tcPr>
          <w:p>
            <w:pPr>
              <w:jc w:val="center"/>
            </w:pPr>
            <w:r>
              <w:rPr>
                <w:rFonts w:ascii="Times New Roman" w:hAnsi="Times New Roman"/>
                <w:b w:val="0"/>
                <w:i w:val="0"/>
                <w:sz w:val="20"/>
              </w:rPr>
              <w:t>32</w:t>
            </w:r>
          </w:p>
        </w:tc>
      </w:tr>
    </w:tbl>
    <w:p>
      <w:r>
        <w:br w:type="page"/>
      </w:r>
    </w:p>
    <w:p>
      <w:pPr>
        <w:spacing w:before="240" w:after="360" w:line="276" w:lineRule="auto"/>
        <w:jc w:val="center"/>
      </w:pPr>
      <w:r>
        <w:rPr>
          <w:rFonts w:ascii="Times New Roman" w:hAnsi="Times New Roman"/>
          <w:b/>
          <w:i w:val="0"/>
          <w:sz w:val="30"/>
        </w:rPr>
        <w:t>ABSTRACT</w:t>
      </w:r>
    </w:p>
    <w:p>
      <w:pPr>
        <w:spacing w:before="0" w:after="120" w:line="360" w:lineRule="auto"/>
        <w:jc w:val="both"/>
        <w:jc w:val="both"/>
      </w:pPr>
      <w:r>
        <w:rPr>
          <w:rFonts w:ascii="Times New Roman" w:hAnsi="Times New Roman"/>
          <w:b w:val="0"/>
          <w:i w:val="0"/>
          <w:sz w:val="24"/>
        </w:rPr>
        <w:t>Federated Learning (FL) allows distributed edge clients to collaboratively train a shared global machine learning model without exposing their private raw datasets to a central coordinator. To prevent the server from reconstructing private client inputs through model gradient inversion, privacy-preserving deployments commonly integrate Secure Aggregation (SecAgg). Under SecAgg, individual model updates are cryptographically blinded through pairwise masking, ensuring that the aggregator observes solely the summed aggregate. However, in our investigation, we identify that this deliberate masking mechanism introduces a severe and unaddressed accountability gap: because individual updates are concealed, the central aggregator possesses unchecked unilateral authority over round admission. The aggregator can arbitrarily discard honest clients, admit malicious contributors, or present conflicting model states to different participants, while remaining entirely unprovable to external auditors.</w:t>
      </w:r>
    </w:p>
    <w:p>
      <w:pPr>
        <w:spacing w:before="0" w:after="120" w:line="360" w:lineRule="auto"/>
        <w:jc w:val="both"/>
        <w:jc w:val="both"/>
      </w:pPr>
      <w:r>
        <w:rPr>
          <w:rFonts w:ascii="Times New Roman" w:hAnsi="Times New Roman"/>
          <w:b w:val="0"/>
          <w:i w:val="0"/>
          <w:sz w:val="24"/>
        </w:rPr>
        <w:t>While recent literature has actively investigated verifiable federated learning, existing systems concentrate almost exclusively on verifying aggregation correctness (AG2) using computationally heavy cryptographic machinery such as Zero-Knowledge Proofs (ZKPs) or specialized Trusted Execution Environments (TEEs). In contrast, verifiable admission (AG1) and non-equivocation (AG3) have remained largely neglected, despite being computationally lighter to verify. In this project, titled BC-FL-SRV, we design, implement, and benchmark a committee-attested, ledger-anchored admission verification framework that resolves this critical gap without requiring zero-knowledge proofs or specialized secure hardware.</w:t>
      </w:r>
    </w:p>
    <w:p>
      <w:pPr>
        <w:spacing w:before="0" w:after="120" w:line="360" w:lineRule="auto"/>
        <w:jc w:val="both"/>
        <w:jc w:val="both"/>
      </w:pPr>
      <w:r>
        <w:rPr>
          <w:rFonts w:ascii="Times New Roman" w:hAnsi="Times New Roman"/>
          <w:b w:val="0"/>
          <w:i w:val="0"/>
          <w:sz w:val="24"/>
        </w:rPr>
        <w:t>In our proposed system, every round transaction is sequentially committed to an append-only Merkle transparency log compliant with RFC 6962. A rotating attestation committee is dynamically and deterministically sampled from the transcript history via verifiable sortition. Committee members independently evaluate bounded per-client evidence (spanning an evidence disclosure ladder from E0 to E4) against a declared admission rule and generate an Ed25519 threshold attestation over the admitted set. An external auditor holding only the public Merkle root chain can independently verify that the round admission decision faithfully followed the attested policy (AG1) and that no state equivocation occurred (AG3).</w:t>
      </w:r>
    </w:p>
    <w:p>
      <w:pPr>
        <w:spacing w:before="0" w:after="120" w:line="360" w:lineRule="auto"/>
        <w:jc w:val="both"/>
        <w:jc w:val="both"/>
      </w:pPr>
      <w:r>
        <w:rPr>
          <w:rFonts w:ascii="Times New Roman" w:hAnsi="Times New Roman"/>
          <w:b w:val="0"/>
          <w:i w:val="0"/>
          <w:sz w:val="24"/>
        </w:rPr>
        <w:t>We implemented BC-FL-SRV end-to-end in Python and PyTorch, conducting seven empirical benchmark experiments between 1 August 2026 and 5 October 2026. Our experimental results prove that auditor verification overhead is strictly independent of model parameter size (maintaining a 1.03x cost ratio across a 65,536x model size scaling range from 64 bytes to 4 MiB) and scales logarithmically with transcript depth. Our protocol reliably detects 12 out of 14 adversarial tamper attacks with zero false alarms on honest clients, while matching theoretical hypergeometric committee corruption probabilities. On a non-IID Fashion-MNIST benchmark, our verifiable admission mechanism incurs exactly zero machine learning utility loss compared to an unmasked trusted-server baseline, while achieving an overall test coverage of 99% across 366 tests.</w:t>
      </w:r>
    </w:p>
    <w:p>
      <w:pPr>
        <w:spacing w:before="240"/>
      </w:pPr>
      <w:r>
        <w:rPr>
          <w:rFonts w:ascii="Times New Roman" w:hAnsi="Times New Roman"/>
          <w:b/>
          <w:i w:val="0"/>
          <w:sz w:val="22"/>
        </w:rPr>
        <w:t xml:space="preserve">Keywords: </w:t>
      </w:r>
      <w:r>
        <w:rPr>
          <w:rFonts w:ascii="Times New Roman" w:hAnsi="Times New Roman"/>
          <w:b w:val="0"/>
          <w:i/>
          <w:sz w:val="22"/>
        </w:rPr>
        <w:t>Federated Learning, Secure Aggregation, Verifiable Admission, Merkle Transparency Log, Committee Attestation, Non-Equivocation, Byzantine Fault Tolerance, Accountability.</w:t>
      </w:r>
    </w:p>
    <w:p>
      <w:r>
        <w:br w:type="page"/>
      </w:r>
    </w:p>
    <w:p>
      <w:pPr>
        <w:spacing w:before="360" w:after="80"/>
        <w:jc w:val="center"/>
      </w:pPr>
      <w:r>
        <w:rPr>
          <w:rFonts w:ascii="Times New Roman" w:hAnsi="Times New Roman"/>
          <w:b/>
          <w:i w:val="0"/>
          <w:sz w:val="28"/>
        </w:rPr>
        <w:t>CHAPTER 1</w:t>
      </w:r>
    </w:p>
    <w:p>
      <w:pPr>
        <w:spacing w:before="40" w:after="280"/>
        <w:jc w:val="center"/>
      </w:pPr>
      <w:r>
        <w:rPr>
          <w:rFonts w:ascii="Times New Roman" w:hAnsi="Times New Roman"/>
          <w:b/>
          <w:i w:val="0"/>
          <w:sz w:val="28"/>
        </w:rPr>
        <w:t>INTRODUCTION</w:t>
      </w:r>
    </w:p>
    <w:p>
      <w:pPr>
        <w:spacing w:before="240" w:after="80" w:line="276" w:lineRule="auto"/>
        <w:jc w:val="left"/>
      </w:pPr>
      <w:r>
        <w:rPr>
          <w:rFonts w:ascii="Times New Roman" w:hAnsi="Times New Roman"/>
          <w:b/>
          <w:i w:val="0"/>
          <w:sz w:val="24"/>
        </w:rPr>
        <w:t>1.1 Need and Motivation of the Project</w:t>
      </w:r>
    </w:p>
    <w:p>
      <w:pPr>
        <w:spacing w:before="0" w:after="120" w:line="360" w:lineRule="auto"/>
        <w:jc w:val="both"/>
        <w:jc w:val="both"/>
      </w:pPr>
      <w:r>
        <w:rPr>
          <w:rFonts w:ascii="Times New Roman" w:hAnsi="Times New Roman"/>
          <w:b w:val="0"/>
          <w:i w:val="0"/>
          <w:sz w:val="24"/>
        </w:rPr>
        <w:t>The rapid proliferation of edge computing devices—such as mobile smartphones, autonomous vehicular units, and Internet-of-Things (IoT) sensors—has generated unprecedented volumes of decentralized data. However, due to stringent privacy regulations such as the General Data Protection Regulation (GDPR) and the Health Insurance Portability and Accountability Act (HIPAA), centralizing sensitive proprietary data onto cloud servers for machine learning training is frequently impermissible. Federated Learning (FL), pioneered by McMahan et al. [1], emerged as an effective paradigm addressing this challenge. In federated learning, participating clients perform local stochastic gradient descent (SGD) training on private data and transmit solely model weight updates or gradient deltas to a central parameter server for global aggregation.</w:t>
      </w:r>
    </w:p>
    <w:p>
      <w:pPr>
        <w:spacing w:before="0" w:after="120" w:line="360" w:lineRule="auto"/>
        <w:jc w:val="both"/>
        <w:jc w:val="both"/>
      </w:pPr>
      <w:r>
        <w:rPr>
          <w:rFonts w:ascii="Times New Roman" w:hAnsi="Times New Roman"/>
          <w:b w:val="0"/>
          <w:i w:val="0"/>
          <w:sz w:val="24"/>
        </w:rPr>
        <w:t>Although raw data remains on edge devices, naive FL remains vulnerable to model gradient inversion attacks, where an inquisitive server reconstructs private training samples from transmitted gradients. To resolve this, Bonawitz et al. [2] introduced Secure Aggregation (SecAgg), which utilizes pairwise secret-masking so that the aggregator observes exclusively the vector sum of model updates, completely shielding individual updates. However, through our investigation, we identified that this privacy mechanism introduces a critical systemic flaw: the aggregator operates as a complete black box regarding round admission. Because updates are cryptographically masked, no external auditor or participating client can verify which clients were legitimately included in the aggregate sum, which clients were discarded, or whether the aggregator adhered to declared quality or safety criteria. Consequently, a compromised or self-interested aggregator can silently drop honest participants whose data challenges the server’s objectives, or secretly admit poisoned model updates that compromise the integrity of the global model.</w:t>
      </w:r>
    </w:p>
    <w:p>
      <w:pPr>
        <w:spacing w:before="240" w:after="80" w:line="276" w:lineRule="auto"/>
        <w:jc w:val="left"/>
      </w:pPr>
      <w:r>
        <w:rPr>
          <w:rFonts w:ascii="Times New Roman" w:hAnsi="Times New Roman"/>
          <w:b/>
          <w:i w:val="0"/>
          <w:sz w:val="24"/>
        </w:rPr>
        <w:t>1.2 Existing Systems and Their Limitations</w:t>
      </w:r>
    </w:p>
    <w:p>
      <w:pPr>
        <w:spacing w:before="0" w:after="120" w:line="360" w:lineRule="auto"/>
        <w:jc w:val="both"/>
        <w:jc w:val="both"/>
      </w:pPr>
      <w:r>
        <w:rPr>
          <w:rFonts w:ascii="Times New Roman" w:hAnsi="Times New Roman"/>
          <w:b w:val="0"/>
          <w:i w:val="0"/>
          <w:sz w:val="24"/>
        </w:rPr>
        <w:t>To establish trust in federated environments, recent research has explored verifiable federated learning frameworks. However, our critical examination of current literature reveals substantial limitations across three predominant paradigms:</w:t>
      </w:r>
    </w:p>
    <w:p>
      <w:pPr>
        <w:spacing w:before="40" w:after="80" w:line="360" w:lineRule="auto"/>
        <w:ind w:left="432"/>
        <w:jc w:val="both"/>
      </w:pPr>
      <w:r>
        <w:rPr>
          <w:rFonts w:ascii="Times New Roman" w:hAnsi="Times New Roman"/>
          <w:b/>
          <w:i w:val="0"/>
          <w:sz w:val="24"/>
        </w:rPr>
        <w:t xml:space="preserve">1.2.1 </w:t>
      </w:r>
      <w:r>
        <w:rPr>
          <w:rFonts w:ascii="Times New Roman" w:hAnsi="Times New Roman"/>
          <w:b w:val="0"/>
          <w:i w:val="0"/>
          <w:sz w:val="24"/>
        </w:rPr>
        <w:t>Zero-Knowledge Proof (ZKP) Systems: Approaches such as VERIFL and zkFL utilize zero-knowledge succinct non-interactive arguments of knowledge (zk-SNARKs) to prove that the global model update was mathematically computed correctly from client inputs. While cryptographically elegant, generating zero-knowledge proofs for modern neural networks containing millions of parameters imposes immense computational complexity of order O(K·N) (where K is client count and N is model dimension). This demands gigabytes of memory and minutes of proof generation time per round, rendering them entirely infeasible for resource-constrained edge devices. Furthermore, these systems exclusively target aggregation correctness (AG2), leaving admission decisions unverifiable.</w:t>
      </w:r>
    </w:p>
    <w:p>
      <w:pPr>
        <w:spacing w:before="40" w:after="80" w:line="360" w:lineRule="auto"/>
        <w:ind w:left="432"/>
        <w:jc w:val="both"/>
      </w:pPr>
      <w:r>
        <w:rPr>
          <w:rFonts w:ascii="Times New Roman" w:hAnsi="Times New Roman"/>
          <w:b/>
          <w:i w:val="0"/>
          <w:sz w:val="24"/>
        </w:rPr>
        <w:t xml:space="preserve">1.2.2 </w:t>
      </w:r>
      <w:r>
        <w:rPr>
          <w:rFonts w:ascii="Times New Roman" w:hAnsi="Times New Roman"/>
          <w:b w:val="0"/>
          <w:i w:val="0"/>
          <w:sz w:val="24"/>
        </w:rPr>
        <w:t>Trusted Execution Environment (TEE) Systems: Systems like PPFL utilize secure hardware enclaves (such as Intel SGX or ARM TrustZone) to execute aggregation logic within isolated enclaves. However, TEEs rely on fragile hardware vendor trust assumptions, remain susceptible to microarchitectural side-channel vulnerabilities, and suffer from strict enclave memory constraints. Critically, external third-party auditors cannot independently verify enclave execution states without possessing access to identical proprietary hardware.</w:t>
      </w:r>
    </w:p>
    <w:p>
      <w:pPr>
        <w:spacing w:before="40" w:after="80" w:line="360" w:lineRule="auto"/>
        <w:ind w:left="432"/>
        <w:jc w:val="both"/>
      </w:pPr>
      <w:r>
        <w:rPr>
          <w:rFonts w:ascii="Times New Roman" w:hAnsi="Times New Roman"/>
          <w:b/>
          <w:i w:val="0"/>
          <w:sz w:val="24"/>
        </w:rPr>
        <w:t xml:space="preserve">1.2.3 </w:t>
      </w:r>
      <w:r>
        <w:rPr>
          <w:rFonts w:ascii="Times New Roman" w:hAnsi="Times New Roman"/>
          <w:b w:val="0"/>
          <w:i w:val="0"/>
          <w:sz w:val="24"/>
        </w:rPr>
        <w:t>Traditional Blockchain-Based FL Systems: Existing decentralized FL systems record model transactions on public ledgers (e.g., Ethereum or Hyperledger). However, to verify client contributions on-chain, these architectures require smart contracts to inspect plaintext model gradients directly. This completely negates the privacy guarantees of secure aggregation. Conversely, when secure aggregation is active, prior blockchain systems merely store unverified masked blobs without establishing admission validity.</w:t>
      </w:r>
    </w:p>
    <w:p>
      <w:pPr>
        <w:spacing w:before="240" w:after="80" w:line="276" w:lineRule="auto"/>
        <w:jc w:val="left"/>
      </w:pPr>
      <w:r>
        <w:rPr>
          <w:rFonts w:ascii="Times New Roman" w:hAnsi="Times New Roman"/>
          <w:b/>
          <w:i w:val="0"/>
          <w:sz w:val="24"/>
        </w:rPr>
        <w:t>1.3 Proposed System (Broad Problem Definition)</w:t>
      </w:r>
    </w:p>
    <w:p>
      <w:pPr>
        <w:spacing w:before="0" w:after="120" w:line="360" w:lineRule="auto"/>
        <w:jc w:val="both"/>
        <w:jc w:val="both"/>
      </w:pPr>
      <w:r>
        <w:rPr>
          <w:rFonts w:ascii="Times New Roman" w:hAnsi="Times New Roman"/>
          <w:b w:val="0"/>
          <w:i w:val="0"/>
          <w:sz w:val="24"/>
        </w:rPr>
        <w:t>To overcome the prohibitive cost of ZKPs, the proprietary fragility of TEEs, and the privacy loss of naive blockchain FL, we propose BC-FL-SRV: a lightweight, verifiable admission architecture for privacy-preserving federated learning. Our system guarantees that per-round client admission decisions are strictly verifiable by external third-party auditors using only cryptographic digital signatures and hash comparisons, completely bypassing zero-knowledge proofs and secure hardware.</w:t>
      </w:r>
    </w:p>
    <w:p>
      <w:pPr>
        <w:spacing w:before="0" w:after="120" w:line="360" w:lineRule="auto"/>
        <w:jc w:val="both"/>
        <w:jc w:val="both"/>
      </w:pPr>
      <w:r>
        <w:rPr>
          <w:rFonts w:ascii="Times New Roman" w:hAnsi="Times New Roman"/>
          <w:b w:val="0"/>
          <w:i w:val="0"/>
          <w:sz w:val="24"/>
        </w:rPr>
        <w:t>BC-FL-SRV operates on three core design pillars:</w:t>
      </w:r>
    </w:p>
    <w:p>
      <w:pPr>
        <w:spacing w:before="40" w:after="80" w:line="360" w:lineRule="auto"/>
        <w:ind w:left="432"/>
        <w:jc w:val="both"/>
      </w:pPr>
      <w:r>
        <w:rPr>
          <w:rFonts w:ascii="Times New Roman" w:hAnsi="Times New Roman"/>
          <w:b/>
          <w:i w:val="0"/>
          <w:sz w:val="24"/>
        </w:rPr>
        <w:t xml:space="preserve">a) </w:t>
      </w:r>
      <w:r>
        <w:rPr>
          <w:rFonts w:ascii="Times New Roman" w:hAnsi="Times New Roman"/>
          <w:b w:val="0"/>
          <w:i w:val="0"/>
          <w:sz w:val="24"/>
        </w:rPr>
        <w:t>Append-Only Merkle Transparency Log: We construct an RFC 6962 hash-chained Merkle tree that immutably records all round transactions—including client submission commitments, committee admission sets, aggregation parameters, and finalizations—enabling logarithmic-time inclusion proofs and state consistency verification.</w:t>
      </w:r>
    </w:p>
    <w:p>
      <w:pPr>
        <w:spacing w:before="40" w:after="80" w:line="360" w:lineRule="auto"/>
        <w:ind w:left="432"/>
        <w:jc w:val="both"/>
      </w:pPr>
      <w:r>
        <w:rPr>
          <w:rFonts w:ascii="Times New Roman" w:hAnsi="Times New Roman"/>
          <w:b/>
          <w:i w:val="0"/>
          <w:sz w:val="24"/>
        </w:rPr>
        <w:t xml:space="preserve">b) </w:t>
      </w:r>
      <w:r>
        <w:rPr>
          <w:rFonts w:ascii="Times New Roman" w:hAnsi="Times New Roman"/>
          <w:b w:val="0"/>
          <w:i w:val="0"/>
          <w:sz w:val="24"/>
        </w:rPr>
        <w:t>Verifiable Committee Attestation: A rotating attestation committee is dynamically sampled from the participant pool using verifiable sortition seeded from historical Merkle roots. Committee members evaluate bounded, privacy-preserving evidence sketches and threshold-sign the resulting admission set.</w:t>
      </w:r>
    </w:p>
    <w:p>
      <w:pPr>
        <w:spacing w:before="40" w:after="80" w:line="360" w:lineRule="auto"/>
        <w:ind w:left="432"/>
        <w:jc w:val="both"/>
      </w:pPr>
      <w:r>
        <w:rPr>
          <w:rFonts w:ascii="Times New Roman" w:hAnsi="Times New Roman"/>
          <w:b/>
          <w:i w:val="0"/>
          <w:sz w:val="24"/>
        </w:rPr>
        <w:t xml:space="preserve">c) </w:t>
      </w:r>
      <w:r>
        <w:rPr>
          <w:rFonts w:ascii="Times New Roman" w:hAnsi="Times New Roman"/>
          <w:b w:val="0"/>
          <w:i w:val="0"/>
          <w:sz w:val="24"/>
        </w:rPr>
        <w:t>Zero-Knowledge-Free External Auditor: Any external observer or regulator holding only the public Merkle root chain can independently audit whether admitted clients complied with declared admission rules (AG1) and verify that the aggregator did not equivocate across different participant views (AG3).</w:t>
      </w:r>
    </w:p>
    <w:p>
      <w:pPr>
        <w:spacing w:before="240" w:after="80" w:line="276" w:lineRule="auto"/>
        <w:jc w:val="left"/>
      </w:pPr>
      <w:r>
        <w:rPr>
          <w:rFonts w:ascii="Times New Roman" w:hAnsi="Times New Roman"/>
          <w:b/>
          <w:i w:val="0"/>
          <w:sz w:val="24"/>
        </w:rPr>
        <w:t>1.4 Objectives of the Project</w:t>
      </w:r>
    </w:p>
    <w:p>
      <w:pPr>
        <w:spacing w:before="0" w:after="120" w:line="360" w:lineRule="auto"/>
        <w:jc w:val="both"/>
        <w:jc w:val="both"/>
      </w:pPr>
      <w:r>
        <w:rPr>
          <w:rFonts w:ascii="Times New Roman" w:hAnsi="Times New Roman"/>
          <w:b w:val="0"/>
          <w:i w:val="0"/>
          <w:sz w:val="24"/>
        </w:rPr>
        <w:t>The primary technical and research objectives we established and accomplished in Stage-I are:</w:t>
      </w:r>
    </w:p>
    <w:p>
      <w:pPr>
        <w:spacing w:before="40" w:after="80" w:line="360" w:lineRule="auto"/>
        <w:ind w:left="432"/>
        <w:jc w:val="both"/>
      </w:pPr>
      <w:r>
        <w:rPr>
          <w:rFonts w:ascii="Times New Roman" w:hAnsi="Times New Roman"/>
          <w:b/>
          <w:i w:val="0"/>
          <w:sz w:val="24"/>
        </w:rPr>
        <w:t xml:space="preserve">1. </w:t>
      </w:r>
      <w:r>
        <w:rPr>
          <w:rFonts w:ascii="Times New Roman" w:hAnsi="Times New Roman"/>
          <w:b w:val="0"/>
          <w:i w:val="0"/>
          <w:sz w:val="24"/>
        </w:rPr>
        <w:t>To design and implement a cryptographically secure, append-only Merkle transparency log compliant with RFC 6962 standards in Python.</w:t>
      </w:r>
    </w:p>
    <w:p>
      <w:pPr>
        <w:spacing w:before="40" w:after="80" w:line="360" w:lineRule="auto"/>
        <w:ind w:left="432"/>
        <w:jc w:val="both"/>
      </w:pPr>
      <w:r>
        <w:rPr>
          <w:rFonts w:ascii="Times New Roman" w:hAnsi="Times New Roman"/>
          <w:b/>
          <w:i w:val="0"/>
          <w:sz w:val="24"/>
        </w:rPr>
        <w:t xml:space="preserve">2. </w:t>
      </w:r>
      <w:r>
        <w:rPr>
          <w:rFonts w:ascii="Times New Roman" w:hAnsi="Times New Roman"/>
          <w:b w:val="0"/>
          <w:i w:val="0"/>
          <w:sz w:val="24"/>
        </w:rPr>
        <w:t>To formulate and implement a verifiable committee sortition mechanism seeded deterministically from transcript roots.</w:t>
      </w:r>
    </w:p>
    <w:p>
      <w:pPr>
        <w:spacing w:before="40" w:after="80" w:line="360" w:lineRule="auto"/>
        <w:ind w:left="432"/>
        <w:jc w:val="both"/>
      </w:pPr>
      <w:r>
        <w:rPr>
          <w:rFonts w:ascii="Times New Roman" w:hAnsi="Times New Roman"/>
          <w:b/>
          <w:i w:val="0"/>
          <w:sz w:val="24"/>
        </w:rPr>
        <w:t xml:space="preserve">3. </w:t>
      </w:r>
      <w:r>
        <w:rPr>
          <w:rFonts w:ascii="Times New Roman" w:hAnsi="Times New Roman"/>
          <w:b w:val="0"/>
          <w:i w:val="0"/>
          <w:sz w:val="24"/>
        </w:rPr>
        <w:t>To design a multi-tiered bounded evidence disclosure ladder (E0 to E4) that balances client data privacy against Byzantine detection capabilities.</w:t>
      </w:r>
    </w:p>
    <w:p>
      <w:pPr>
        <w:spacing w:before="40" w:after="80" w:line="360" w:lineRule="auto"/>
        <w:ind w:left="432"/>
        <w:jc w:val="both"/>
      </w:pPr>
      <w:r>
        <w:rPr>
          <w:rFonts w:ascii="Times New Roman" w:hAnsi="Times New Roman"/>
          <w:b/>
          <w:i w:val="0"/>
          <w:sz w:val="24"/>
        </w:rPr>
        <w:t xml:space="preserve">4. </w:t>
      </w:r>
      <w:r>
        <w:rPr>
          <w:rFonts w:ascii="Times New Roman" w:hAnsi="Times New Roman"/>
          <w:b w:val="0"/>
          <w:i w:val="0"/>
          <w:sz w:val="24"/>
        </w:rPr>
        <w:t>To implement an Ed25519 threshold attestation protocol for co-signing valid admission sets.</w:t>
      </w:r>
    </w:p>
    <w:p>
      <w:pPr>
        <w:spacing w:before="40" w:after="80" w:line="360" w:lineRule="auto"/>
        <w:ind w:left="432"/>
        <w:jc w:val="both"/>
      </w:pPr>
      <w:r>
        <w:rPr>
          <w:rFonts w:ascii="Times New Roman" w:hAnsi="Times New Roman"/>
          <w:b/>
          <w:i w:val="0"/>
          <w:sz w:val="24"/>
        </w:rPr>
        <w:t xml:space="preserve">5. </w:t>
      </w:r>
      <w:r>
        <w:rPr>
          <w:rFonts w:ascii="Times New Roman" w:hAnsi="Times New Roman"/>
          <w:b w:val="0"/>
          <w:i w:val="0"/>
          <w:sz w:val="24"/>
        </w:rPr>
        <w:t>To construct an independent external auditor engine capable of verifying AG1 (correct admission) and AG3 (non-equivocation) from transcript data alone.</w:t>
      </w:r>
    </w:p>
    <w:p>
      <w:pPr>
        <w:spacing w:before="40" w:after="80" w:line="360" w:lineRule="auto"/>
        <w:ind w:left="432"/>
        <w:jc w:val="both"/>
      </w:pPr>
      <w:r>
        <w:rPr>
          <w:rFonts w:ascii="Times New Roman" w:hAnsi="Times New Roman"/>
          <w:b/>
          <w:i w:val="0"/>
          <w:sz w:val="24"/>
        </w:rPr>
        <w:t xml:space="preserve">6. </w:t>
      </w:r>
      <w:r>
        <w:rPr>
          <w:rFonts w:ascii="Times New Roman" w:hAnsi="Times New Roman"/>
          <w:b w:val="0"/>
          <w:i w:val="0"/>
          <w:sz w:val="24"/>
        </w:rPr>
        <w:t>To empirically demonstrate that auditor verification latency remains strictly invariant to neural network parameter dimensions.</w:t>
      </w:r>
    </w:p>
    <w:p>
      <w:pPr>
        <w:spacing w:before="40" w:after="80" w:line="360" w:lineRule="auto"/>
        <w:ind w:left="432"/>
        <w:jc w:val="both"/>
      </w:pPr>
      <w:r>
        <w:rPr>
          <w:rFonts w:ascii="Times New Roman" w:hAnsi="Times New Roman"/>
          <w:b/>
          <w:i w:val="0"/>
          <w:sz w:val="24"/>
        </w:rPr>
        <w:t xml:space="preserve">7. </w:t>
      </w:r>
      <w:r>
        <w:rPr>
          <w:rFonts w:ascii="Times New Roman" w:hAnsi="Times New Roman"/>
          <w:b w:val="0"/>
          <w:i w:val="0"/>
          <w:sz w:val="24"/>
        </w:rPr>
        <w:t>To integrate an end-to-end federated learning simulation on Fashion-MNIST with Dirichlet non-IID partitioning and additive secure aggregation.</w:t>
      </w:r>
    </w:p>
    <w:p>
      <w:pPr>
        <w:spacing w:before="40" w:after="80" w:line="360" w:lineRule="auto"/>
        <w:ind w:left="432"/>
        <w:jc w:val="both"/>
      </w:pPr>
      <w:r>
        <w:rPr>
          <w:rFonts w:ascii="Times New Roman" w:hAnsi="Times New Roman"/>
          <w:b/>
          <w:i w:val="0"/>
          <w:sz w:val="24"/>
        </w:rPr>
        <w:t xml:space="preserve">8. </w:t>
      </w:r>
      <w:r>
        <w:rPr>
          <w:rFonts w:ascii="Times New Roman" w:hAnsi="Times New Roman"/>
          <w:b w:val="0"/>
          <w:i w:val="0"/>
          <w:sz w:val="24"/>
        </w:rPr>
        <w:t>To validate system resilience through 366 automated unit, protocol, and adversarial security tests achieving 99% line coverage.</w:t>
      </w:r>
    </w:p>
    <w:p>
      <w:pPr>
        <w:spacing w:before="240" w:after="80" w:line="276" w:lineRule="auto"/>
        <w:jc w:val="left"/>
      </w:pPr>
      <w:r>
        <w:rPr>
          <w:rFonts w:ascii="Times New Roman" w:hAnsi="Times New Roman"/>
          <w:b/>
          <w:i w:val="0"/>
          <w:sz w:val="24"/>
        </w:rPr>
        <w:t>1.5 Scope of the Project</w:t>
      </w:r>
    </w:p>
    <w:p>
      <w:pPr>
        <w:spacing w:before="0" w:after="120" w:line="360" w:lineRule="auto"/>
        <w:jc w:val="both"/>
        <w:jc w:val="both"/>
      </w:pPr>
      <w:r>
        <w:rPr>
          <w:rFonts w:ascii="Times New Roman" w:hAnsi="Times New Roman"/>
          <w:b w:val="0"/>
          <w:i w:val="0"/>
          <w:sz w:val="24"/>
        </w:rPr>
        <w:t>The scope of BC-FL-SRV centers on establishing provable accountability for admission and non-equivocation in federated learning. In Stage-I, our implementation is developed as a modular, reproducible simulation running on CPU architecture, executing on the standard Fashion-MNIST benchmark dataset. Our scope deliberately excludes distributed network socket deployment, zero-knowledge circuit generation, and client-side proof of training execution (CL2), allowing our research to isolate and rigorously evaluate the admission layer under secure aggregation.</w:t>
      </w:r>
    </w:p>
    <w:p>
      <w:pPr>
        <w:spacing w:before="240" w:after="80" w:line="276" w:lineRule="auto"/>
        <w:jc w:val="left"/>
      </w:pPr>
      <w:r>
        <w:rPr>
          <w:rFonts w:ascii="Times New Roman" w:hAnsi="Times New Roman"/>
          <w:b/>
          <w:i w:val="0"/>
          <w:sz w:val="24"/>
        </w:rPr>
        <w:t>1.6 Practical Applications</w:t>
      </w:r>
    </w:p>
    <w:p>
      <w:pPr>
        <w:spacing w:before="0" w:after="120" w:line="360" w:lineRule="auto"/>
        <w:jc w:val="both"/>
        <w:jc w:val="both"/>
      </w:pPr>
      <w:r>
        <w:rPr>
          <w:rFonts w:ascii="Times New Roman" w:hAnsi="Times New Roman"/>
          <w:b w:val="0"/>
          <w:i w:val="0"/>
          <w:sz w:val="24"/>
        </w:rPr>
        <w:t>The verifiable admission architecture developed in this project directly addresses compliance and trust requirements in several high-stakes domains:</w:t>
      </w:r>
    </w:p>
    <w:p>
      <w:pPr>
        <w:spacing w:before="40" w:after="80" w:line="360" w:lineRule="auto"/>
        <w:ind w:left="432"/>
        <w:jc w:val="both"/>
      </w:pPr>
      <w:r>
        <w:rPr>
          <w:rFonts w:ascii="Times New Roman" w:hAnsi="Times New Roman"/>
          <w:b/>
          <w:i w:val="0"/>
          <w:sz w:val="24"/>
        </w:rPr>
        <w:t xml:space="preserve">1. </w:t>
      </w:r>
      <w:r>
        <w:rPr>
          <w:rFonts w:ascii="Times New Roman" w:hAnsi="Times New Roman"/>
          <w:b w:val="0"/>
          <w:i w:val="0"/>
          <w:sz w:val="24"/>
        </w:rPr>
        <w:t>Healthcare and Clinical Consortia: Multiple medical institutions collaboratively training diagnostic neural networks on patient records can formally prove to regulatory bodies that model updates originated solely from accredited medical institutions without exposing confidential patient health data.</w:t>
      </w:r>
    </w:p>
    <w:p>
      <w:pPr>
        <w:spacing w:before="40" w:after="80" w:line="360" w:lineRule="auto"/>
        <w:ind w:left="432"/>
        <w:jc w:val="both"/>
      </w:pPr>
      <w:r>
        <w:rPr>
          <w:rFonts w:ascii="Times New Roman" w:hAnsi="Times New Roman"/>
          <w:b/>
          <w:i w:val="0"/>
          <w:sz w:val="24"/>
        </w:rPr>
        <w:t xml:space="preserve">2. </w:t>
      </w:r>
      <w:r>
        <w:rPr>
          <w:rFonts w:ascii="Times New Roman" w:hAnsi="Times New Roman"/>
          <w:b w:val="0"/>
          <w:i w:val="0"/>
          <w:sz w:val="24"/>
        </w:rPr>
        <w:t>Financial Fraud Detection: Inter-bank federated anti-money laundering (AML) networks can audit that all member banks contributed equally without allowing a central consortium coordinator to favor specific banking entities.</w:t>
      </w:r>
    </w:p>
    <w:p>
      <w:pPr>
        <w:spacing w:before="40" w:after="80" w:line="360" w:lineRule="auto"/>
        <w:ind w:left="432"/>
        <w:jc w:val="both"/>
      </w:pPr>
      <w:r>
        <w:rPr>
          <w:rFonts w:ascii="Times New Roman" w:hAnsi="Times New Roman"/>
          <w:b/>
          <w:i w:val="0"/>
          <w:sz w:val="24"/>
        </w:rPr>
        <w:t xml:space="preserve">3. </w:t>
      </w:r>
      <w:r>
        <w:rPr>
          <w:rFonts w:ascii="Times New Roman" w:hAnsi="Times New Roman"/>
          <w:b w:val="0"/>
          <w:i w:val="0"/>
          <w:sz w:val="24"/>
        </w:rPr>
        <w:t>Autonomous Vehicular Networks: Fleet operators can guarantee that telemetry updates used to update autonomous navigation models were attested by verified edge vehicle clusters, preventing adversarial sensor spoofing.</w:t>
      </w:r>
    </w:p>
    <w:p>
      <w:pPr>
        <w:spacing w:before="240" w:after="80" w:line="276" w:lineRule="auto"/>
        <w:jc w:val="left"/>
      </w:pPr>
      <w:r>
        <w:rPr>
          <w:rFonts w:ascii="Times New Roman" w:hAnsi="Times New Roman"/>
          <w:b/>
          <w:i w:val="0"/>
          <w:sz w:val="24"/>
        </w:rPr>
        <w:t>1.7 Organization of the Report</w:t>
      </w:r>
    </w:p>
    <w:p>
      <w:pPr>
        <w:spacing w:before="0" w:after="120" w:line="360" w:lineRule="auto"/>
        <w:jc w:val="both"/>
        <w:jc w:val="both"/>
      </w:pPr>
      <w:r>
        <w:rPr>
          <w:rFonts w:ascii="Times New Roman" w:hAnsi="Times New Roman"/>
          <w:b w:val="0"/>
          <w:i w:val="0"/>
          <w:sz w:val="24"/>
        </w:rPr>
        <w:t>This report is systematically organized into five distinct chapters. Chapter 1 introduces the background, motivation, limitations of existing systems, objectives, scope, and applications. Chapter 2 reviews relevant literature covering federated learning foundations, secure aggregation, Byzantine defenses, verifiable FL taxonomies, and Merkle audit logs. Chapter 3 formalizes our precise problem definition, research hypothesis, trust model, threat model, system architecture, and protocol workflows. Chapter 4 provides extensive details of our Stage-I implementation, benchmark experimental results (E-1 to E-5), test coverage metrics, and planned tasks for Stage-II. Chapter 5 concludes the report with a summary of findings and future research directions.</w:t>
      </w:r>
    </w:p>
    <w:p>
      <w:r>
        <w:br w:type="page"/>
      </w:r>
    </w:p>
    <w:p>
      <w:pPr>
        <w:spacing w:before="360" w:after="80"/>
        <w:jc w:val="center"/>
      </w:pPr>
      <w:r>
        <w:rPr>
          <w:rFonts w:ascii="Times New Roman" w:hAnsi="Times New Roman"/>
          <w:b/>
          <w:i w:val="0"/>
          <w:sz w:val="28"/>
        </w:rPr>
        <w:t>CHAPTER 2</w:t>
      </w:r>
    </w:p>
    <w:p>
      <w:pPr>
        <w:spacing w:before="40" w:after="280"/>
        <w:jc w:val="center"/>
      </w:pPr>
      <w:r>
        <w:rPr>
          <w:rFonts w:ascii="Times New Roman" w:hAnsi="Times New Roman"/>
          <w:b/>
          <w:i w:val="0"/>
          <w:sz w:val="28"/>
        </w:rPr>
        <w:t>LITERATURE SURVEY</w:t>
      </w:r>
    </w:p>
    <w:p>
      <w:pPr>
        <w:spacing w:before="240" w:after="80" w:line="276" w:lineRule="auto"/>
        <w:jc w:val="left"/>
      </w:pPr>
      <w:r>
        <w:rPr>
          <w:rFonts w:ascii="Times New Roman" w:hAnsi="Times New Roman"/>
          <w:b/>
          <w:i w:val="0"/>
          <w:sz w:val="24"/>
        </w:rPr>
        <w:t>2.1 Foundations of Federated Learning</w:t>
      </w:r>
    </w:p>
    <w:p>
      <w:pPr>
        <w:spacing w:before="0" w:after="120" w:line="360" w:lineRule="auto"/>
        <w:jc w:val="both"/>
        <w:jc w:val="both"/>
      </w:pPr>
      <w:r>
        <w:rPr>
          <w:rFonts w:ascii="Times New Roman" w:hAnsi="Times New Roman"/>
          <w:b w:val="0"/>
          <w:i w:val="0"/>
          <w:sz w:val="24"/>
        </w:rPr>
        <w:t>Federated Learning was formally introduced by McMahan et al. [1] through the Federated Averaging (FedAvg) algorithm. In FedAvg, communication overhead is minimized by executing multiple local stochastic gradient descent epochs on client devices prior to transmitting weight updates to the coordinator. Li et al. [15] established mathematical convergence bounds for federated optimization over heterogeneous networks, demonstrating that data non-identically and independently distributed (non-IID) across clients causes local gradient drift, impairing global convergence stability. In our work, we model this realistic client heterogeneity using Dirichlet distribution partitioning as formalized by Hsieh et al.</w:t>
      </w:r>
    </w:p>
    <w:p>
      <w:pPr>
        <w:spacing w:before="240" w:after="80" w:line="276" w:lineRule="auto"/>
        <w:jc w:val="left"/>
      </w:pPr>
      <w:r>
        <w:rPr>
          <w:rFonts w:ascii="Times New Roman" w:hAnsi="Times New Roman"/>
          <w:b/>
          <w:i w:val="0"/>
          <w:sz w:val="24"/>
        </w:rPr>
        <w:t>2.2 Secure Aggregation Protocols and the Accountability Trade-off</w:t>
      </w:r>
    </w:p>
    <w:p>
      <w:pPr>
        <w:spacing w:before="0" w:after="120" w:line="360" w:lineRule="auto"/>
        <w:jc w:val="both"/>
        <w:jc w:val="both"/>
      </w:pPr>
      <w:r>
        <w:rPr>
          <w:rFonts w:ascii="Times New Roman" w:hAnsi="Times New Roman"/>
          <w:b w:val="0"/>
          <w:i w:val="0"/>
          <w:sz w:val="24"/>
        </w:rPr>
        <w:t>To prevent model inversion and membership inference attacks, Bonawitz et al. [2] developed the canonical Secure Aggregation (SecAgg) protocol. SecAgg relies on pairwise Diffie-Hellman key agreements to generate symmetrical blinding vectors between client pairs. When all client updates are summed at the server, complementary masks cancel out algebraically, revealing solely the aggregate model delta. Bell et al. extended SecAgg to accommodate client network dropouts. While SecAgg provides robust cryptographic privacy, our literature analysis reveals that it fundamentally undermines system accountability: because individual contributions are concealed, the aggregator’s decision to accept or reject any given client update cannot be confirmed by outside entities.</w:t>
      </w:r>
    </w:p>
    <w:p>
      <w:pPr>
        <w:spacing w:before="240" w:after="80" w:line="276" w:lineRule="auto"/>
        <w:jc w:val="left"/>
      </w:pPr>
      <w:r>
        <w:rPr>
          <w:rFonts w:ascii="Times New Roman" w:hAnsi="Times New Roman"/>
          <w:b/>
          <w:i w:val="0"/>
          <w:sz w:val="24"/>
        </w:rPr>
        <w:t>2.3 Byzantine Robustness in Federated Learning</w:t>
      </w:r>
    </w:p>
    <w:p>
      <w:pPr>
        <w:spacing w:before="0" w:after="120" w:line="360" w:lineRule="auto"/>
        <w:jc w:val="both"/>
        <w:jc w:val="both"/>
      </w:pPr>
      <w:r>
        <w:rPr>
          <w:rFonts w:ascii="Times New Roman" w:hAnsi="Times New Roman"/>
          <w:b w:val="0"/>
          <w:i w:val="0"/>
          <w:sz w:val="24"/>
        </w:rPr>
        <w:t>The vulnerability of federated learning to adversarial poisoning attacks has been widely studied. Blanchard et al. [4] formulated Krum, a geometric distance-based aggregation rule resilient against Byzantine workers. Subsequent defenses include Coordinate-wise Median and Trimmed Mean by Yin et al. [5], Bulyan by El Mhamdi et al., and FLTrust by Cao et al. [14]. However, these robust aggregation rules presuppose plaintext gradient inspection. Furthermore, Allouah et al. [6] mathematically proved an impossibility trilemma: no distributed learning algorithm can simultaneously achieve strong differential privacy, Byzantine robustness, and optimal utility. Our design operates in the secure aggregation domain rather than differential privacy, utilizing bounded evidence sketches to bypass this limitation.</w:t>
      </w:r>
    </w:p>
    <w:p>
      <w:pPr>
        <w:spacing w:before="240" w:after="80" w:line="276" w:lineRule="auto"/>
        <w:jc w:val="left"/>
      </w:pPr>
      <w:r>
        <w:rPr>
          <w:rFonts w:ascii="Times New Roman" w:hAnsi="Times New Roman"/>
          <w:b/>
          <w:i w:val="0"/>
          <w:sz w:val="24"/>
        </w:rPr>
        <w:t>2.4 Systematization of Verifiable Federated Learning</w:t>
      </w:r>
    </w:p>
    <w:p>
      <w:pPr>
        <w:spacing w:before="0" w:after="120" w:line="360" w:lineRule="auto"/>
        <w:jc w:val="both"/>
        <w:jc w:val="both"/>
      </w:pPr>
      <w:r>
        <w:rPr>
          <w:rFonts w:ascii="Times New Roman" w:hAnsi="Times New Roman"/>
          <w:b w:val="0"/>
          <w:i w:val="0"/>
          <w:sz w:val="24"/>
        </w:rPr>
        <w:t>In a seminal survey, Rizzini, Esposito, Gagliardoni, and Bruschi [3] (PoPETs 2026) presented a comprehensive systematization of knowledge categorizing integrity claims in privacy-preserving federated learning into client-side claims (CL1–CL4) and aggregator-side claims (AG1: correct admission, AG2: correct aggregation, AG3: non-equivocation). Their quantitative evaluation of 13 state-of-the-art verifiable FL systems revealed a critical imbalance in existing literature, as summarized in Table 2.1.</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0"/>
              </w:rPr>
              <w:t>Integrity Claim</w:t>
            </w:r>
          </w:p>
        </w:tc>
        <w:tc>
          <w:tcPr>
            <w:tcW w:type="dxa" w:w="2167"/>
          </w:tcPr>
          <w:p>
            <w:pPr>
              <w:jc w:val="center"/>
            </w:pPr>
            <w:r>
              <w:rPr>
                <w:rFonts w:ascii="Times New Roman" w:hAnsi="Times New Roman"/>
                <w:b/>
                <w:i w:val="0"/>
                <w:sz w:val="20"/>
              </w:rPr>
              <w:t>Literature Adoption</w:t>
            </w:r>
          </w:p>
        </w:tc>
        <w:tc>
          <w:tcPr>
            <w:tcW w:type="dxa" w:w="2167"/>
          </w:tcPr>
          <w:p>
            <w:pPr>
              <w:jc w:val="center"/>
            </w:pPr>
            <w:r>
              <w:rPr>
                <w:rFonts w:ascii="Times New Roman" w:hAnsi="Times New Roman"/>
                <w:b/>
                <w:i w:val="0"/>
                <w:sz w:val="20"/>
              </w:rPr>
              <w:t>Computational Complexity</w:t>
            </w:r>
          </w:p>
        </w:tc>
        <w:tc>
          <w:tcPr>
            <w:tcW w:type="dxa" w:w="2167"/>
          </w:tcPr>
          <w:p>
            <w:pPr>
              <w:jc w:val="center"/>
            </w:pPr>
            <w:r>
              <w:rPr>
                <w:rFonts w:ascii="Times New Roman" w:hAnsi="Times New Roman"/>
                <w:b/>
                <w:i w:val="0"/>
                <w:sz w:val="20"/>
              </w:rPr>
              <w:t>Implementation Ease (1-5)</w:t>
            </w:r>
          </w:p>
        </w:tc>
      </w:tr>
      <w:tr>
        <w:tc>
          <w:tcPr>
            <w:tcW w:type="dxa" w:w="2167"/>
          </w:tcPr>
          <w:p>
            <w:pPr>
              <w:jc w:val="left"/>
            </w:pPr>
            <w:r>
              <w:rPr>
                <w:rFonts w:ascii="Times New Roman" w:hAnsi="Times New Roman"/>
                <w:b w:val="0"/>
                <w:i w:val="0"/>
                <w:sz w:val="20"/>
              </w:rPr>
              <w:t>AG1: Correct Admission</w:t>
            </w:r>
          </w:p>
        </w:tc>
        <w:tc>
          <w:tcPr>
            <w:tcW w:type="dxa" w:w="2167"/>
          </w:tcPr>
          <w:p>
            <w:pPr>
              <w:jc w:val="center"/>
            </w:pPr>
            <w:r>
              <w:rPr>
                <w:rFonts w:ascii="Times New Roman" w:hAnsi="Times New Roman"/>
                <w:b w:val="0"/>
                <w:i w:val="0"/>
                <w:sz w:val="20"/>
              </w:rPr>
              <w:t>2 out of 13 systems (15.4%)</w:t>
            </w:r>
          </w:p>
        </w:tc>
        <w:tc>
          <w:tcPr>
            <w:tcW w:type="dxa" w:w="2167"/>
          </w:tcPr>
          <w:p>
            <w:pPr>
              <w:jc w:val="center"/>
            </w:pPr>
            <w:r>
              <w:rPr>
                <w:rFonts w:ascii="Times New Roman" w:hAnsi="Times New Roman"/>
                <w:b w:val="0"/>
                <w:i w:val="0"/>
                <w:sz w:val="20"/>
              </w:rPr>
              <w:t>O(K) — Client count dependent</w:t>
            </w:r>
          </w:p>
        </w:tc>
        <w:tc>
          <w:tcPr>
            <w:tcW w:type="dxa" w:w="2167"/>
          </w:tcPr>
          <w:p>
            <w:pPr>
              <w:jc w:val="center"/>
            </w:pPr>
            <w:r>
              <w:rPr>
                <w:rFonts w:ascii="Times New Roman" w:hAnsi="Times New Roman"/>
                <w:b w:val="0"/>
                <w:i w:val="0"/>
                <w:sz w:val="20"/>
              </w:rPr>
              <w:t>4.5 (High feasibility)</w:t>
            </w:r>
          </w:p>
        </w:tc>
      </w:tr>
      <w:tr>
        <w:tc>
          <w:tcPr>
            <w:tcW w:type="dxa" w:w="2167"/>
          </w:tcPr>
          <w:p>
            <w:pPr>
              <w:jc w:val="left"/>
            </w:pPr>
            <w:r>
              <w:rPr>
                <w:rFonts w:ascii="Times New Roman" w:hAnsi="Times New Roman"/>
                <w:b w:val="0"/>
                <w:i w:val="0"/>
                <w:sz w:val="20"/>
              </w:rPr>
              <w:t>AG2: Correct Aggregation</w:t>
            </w:r>
          </w:p>
        </w:tc>
        <w:tc>
          <w:tcPr>
            <w:tcW w:type="dxa" w:w="2167"/>
          </w:tcPr>
          <w:p>
            <w:pPr>
              <w:jc w:val="center"/>
            </w:pPr>
            <w:r>
              <w:rPr>
                <w:rFonts w:ascii="Times New Roman" w:hAnsi="Times New Roman"/>
                <w:b w:val="0"/>
                <w:i w:val="0"/>
                <w:sz w:val="20"/>
              </w:rPr>
              <w:t>10 out of 13 systems (76.9%)</w:t>
            </w:r>
          </w:p>
        </w:tc>
        <w:tc>
          <w:tcPr>
            <w:tcW w:type="dxa" w:w="2167"/>
          </w:tcPr>
          <w:p>
            <w:pPr>
              <w:jc w:val="center"/>
            </w:pPr>
            <w:r>
              <w:rPr>
                <w:rFonts w:ascii="Times New Roman" w:hAnsi="Times New Roman"/>
                <w:b w:val="0"/>
                <w:i w:val="0"/>
                <w:sz w:val="20"/>
              </w:rPr>
              <w:t>O(K·N) — Model size dependent</w:t>
            </w:r>
          </w:p>
        </w:tc>
        <w:tc>
          <w:tcPr>
            <w:tcW w:type="dxa" w:w="2167"/>
          </w:tcPr>
          <w:p>
            <w:pPr>
              <w:jc w:val="center"/>
            </w:pPr>
            <w:r>
              <w:rPr>
                <w:rFonts w:ascii="Times New Roman" w:hAnsi="Times New Roman"/>
                <w:b w:val="0"/>
                <w:i w:val="0"/>
                <w:sz w:val="20"/>
              </w:rPr>
              <w:t>2.0 (High complexity / ZKP)</w:t>
            </w:r>
          </w:p>
        </w:tc>
      </w:tr>
      <w:tr>
        <w:tc>
          <w:tcPr>
            <w:tcW w:type="dxa" w:w="2167"/>
          </w:tcPr>
          <w:p>
            <w:pPr>
              <w:jc w:val="left"/>
            </w:pPr>
            <w:r>
              <w:rPr>
                <w:rFonts w:ascii="Times New Roman" w:hAnsi="Times New Roman"/>
                <w:b w:val="0"/>
                <w:i w:val="0"/>
                <w:sz w:val="20"/>
              </w:rPr>
              <w:t>AG3: Non-Equivocation</w:t>
            </w:r>
          </w:p>
        </w:tc>
        <w:tc>
          <w:tcPr>
            <w:tcW w:type="dxa" w:w="2167"/>
          </w:tcPr>
          <w:p>
            <w:pPr>
              <w:jc w:val="center"/>
            </w:pPr>
            <w:r>
              <w:rPr>
                <w:rFonts w:ascii="Times New Roman" w:hAnsi="Times New Roman"/>
                <w:b w:val="0"/>
                <w:i w:val="0"/>
                <w:sz w:val="20"/>
              </w:rPr>
              <w:t>3 out of 13 systems (23.1%)</w:t>
            </w:r>
          </w:p>
        </w:tc>
        <w:tc>
          <w:tcPr>
            <w:tcW w:type="dxa" w:w="2167"/>
          </w:tcPr>
          <w:p>
            <w:pPr>
              <w:jc w:val="center"/>
            </w:pPr>
            <w:r>
              <w:rPr>
                <w:rFonts w:ascii="Times New Roman" w:hAnsi="Times New Roman"/>
                <w:b w:val="0"/>
                <w:i w:val="0"/>
                <w:sz w:val="20"/>
              </w:rPr>
              <w:t>O(1) — Constant tree root check</w:t>
            </w:r>
          </w:p>
        </w:tc>
        <w:tc>
          <w:tcPr>
            <w:tcW w:type="dxa" w:w="2167"/>
          </w:tcPr>
          <w:p>
            <w:pPr>
              <w:jc w:val="center"/>
            </w:pPr>
            <w:r>
              <w:rPr>
                <w:rFonts w:ascii="Times New Roman" w:hAnsi="Times New Roman"/>
                <w:b w:val="0"/>
                <w:i w:val="0"/>
                <w:sz w:val="20"/>
              </w:rPr>
              <w:t>5.0 (Very high feasibility)</w:t>
            </w:r>
          </w:p>
        </w:tc>
      </w:tr>
    </w:tbl>
    <w:p>
      <w:pPr>
        <w:spacing w:before="80" w:after="120"/>
        <w:jc w:val="center"/>
      </w:pPr>
      <w:r>
        <w:rPr>
          <w:rFonts w:ascii="Times New Roman" w:hAnsi="Times New Roman"/>
          <w:b w:val="0"/>
          <w:i/>
          <w:sz w:val="20"/>
        </w:rPr>
        <w:t>Table 2.1: Comparison of Aggregator Integrity Claims in Verifiable FL Literature [3]</w:t>
      </w:r>
    </w:p>
    <w:p>
      <w:pPr>
        <w:spacing w:before="0" w:after="120" w:line="360" w:lineRule="auto"/>
        <w:jc w:val="both"/>
        <w:jc w:val="both"/>
      </w:pPr>
      <w:r>
        <w:rPr>
          <w:rFonts w:ascii="Times New Roman" w:hAnsi="Times New Roman"/>
          <w:b w:val="0"/>
          <w:i w:val="0"/>
          <w:sz w:val="24"/>
        </w:rPr>
        <w:t>As established in Table 2.1, 76.9% of prior works focus on AG2 using heavy ZKPs, while AG1 and AG3 are largely ignored despite being substantially cheaper to execute. Crucially, the survey authors explicitly highlight that committee-attested, ZK-free AG1 instantiation under secure aggregation represents an entirely vacant design space. This finding serves as the primary scientific impetus for our project.</w:t>
      </w:r>
    </w:p>
    <w:p>
      <w:pPr>
        <w:spacing w:before="240" w:after="80" w:line="276" w:lineRule="auto"/>
        <w:jc w:val="left"/>
      </w:pPr>
      <w:r>
        <w:rPr>
          <w:rFonts w:ascii="Times New Roman" w:hAnsi="Times New Roman"/>
          <w:b/>
          <w:i w:val="0"/>
          <w:sz w:val="24"/>
        </w:rPr>
        <w:t>2.5 Merkle Audit Logs and Transparency Systems</w:t>
      </w:r>
    </w:p>
    <w:p>
      <w:pPr>
        <w:spacing w:before="0" w:after="120" w:line="360" w:lineRule="auto"/>
        <w:jc w:val="both"/>
        <w:jc w:val="both"/>
      </w:pPr>
      <w:r>
        <w:rPr>
          <w:rFonts w:ascii="Times New Roman" w:hAnsi="Times New Roman"/>
          <w:b w:val="0"/>
          <w:i w:val="0"/>
          <w:sz w:val="24"/>
        </w:rPr>
        <w:t>The concept of public audit logs was popularized by Laurie et al. [10] in RFC 6962 Certificate Transparency (CT). CT uses binary Merkle hash trees to record digital certificates, enabling clients to efficiently verify log inclusion with O(log n) cryptographic hashes and audit log append-only consistency. In our research, we adopt RFC 6962 Merkle trees as the immutable ledger for federated learning round transcripts.</w:t>
      </w:r>
    </w:p>
    <w:p>
      <w:pPr>
        <w:spacing w:before="240" w:after="80" w:line="276" w:lineRule="auto"/>
        <w:jc w:val="left"/>
      </w:pPr>
      <w:r>
        <w:rPr>
          <w:rFonts w:ascii="Times New Roman" w:hAnsi="Times New Roman"/>
          <w:b/>
          <w:i w:val="0"/>
          <w:sz w:val="24"/>
        </w:rPr>
        <w:t>2.6 Summary of Literature Gap</w:t>
      </w:r>
    </w:p>
    <w:p>
      <w:pPr>
        <w:spacing w:before="0" w:after="120" w:line="360" w:lineRule="auto"/>
        <w:jc w:val="both"/>
        <w:jc w:val="both"/>
      </w:pPr>
      <w:r>
        <w:rPr>
          <w:rFonts w:ascii="Times New Roman" w:hAnsi="Times New Roman"/>
          <w:b w:val="0"/>
          <w:i w:val="0"/>
          <w:sz w:val="24"/>
        </w:rPr>
        <w:t>In summary, our literature survey establishes that while federated learning provides data privacy, and secure aggregation shields model updates, no existing framework enables external verification of per-round admission decisions without incurring prohibitive zero-knowledge overhead or compromising data confidentiality. Our project directly solves this gap.</w:t>
      </w:r>
    </w:p>
    <w:p>
      <w:r>
        <w:br w:type="page"/>
      </w:r>
    </w:p>
    <w:p>
      <w:pPr>
        <w:spacing w:before="360" w:after="80"/>
        <w:jc w:val="center"/>
      </w:pPr>
      <w:r>
        <w:rPr>
          <w:rFonts w:ascii="Times New Roman" w:hAnsi="Times New Roman"/>
          <w:b/>
          <w:i w:val="0"/>
          <w:sz w:val="28"/>
        </w:rPr>
        <w:t>CHAPTER 3</w:t>
      </w:r>
    </w:p>
    <w:p>
      <w:pPr>
        <w:spacing w:before="40" w:after="280"/>
        <w:jc w:val="center"/>
      </w:pPr>
      <w:r>
        <w:rPr>
          <w:rFonts w:ascii="Times New Roman" w:hAnsi="Times New Roman"/>
          <w:b/>
          <w:i w:val="0"/>
          <w:sz w:val="28"/>
        </w:rPr>
        <w:t>PROBLEM DEFINITION AND SYSTEM DESIGN</w:t>
      </w:r>
    </w:p>
    <w:p>
      <w:pPr>
        <w:spacing w:before="240" w:after="80" w:line="276" w:lineRule="auto"/>
        <w:jc w:val="left"/>
      </w:pPr>
      <w:r>
        <w:rPr>
          <w:rFonts w:ascii="Times New Roman" w:hAnsi="Times New Roman"/>
          <w:b/>
          <w:i w:val="0"/>
          <w:sz w:val="24"/>
        </w:rPr>
        <w:t>3.1 Precise Research Question</w:t>
      </w:r>
    </w:p>
    <w:p>
      <w:pPr>
        <w:spacing w:before="0" w:after="120" w:line="360" w:lineRule="auto"/>
        <w:jc w:val="both"/>
        <w:jc w:val="both"/>
      </w:pPr>
      <w:r>
        <w:rPr>
          <w:rFonts w:ascii="Times New Roman" w:hAnsi="Times New Roman"/>
          <w:b w:val="0"/>
          <w:i w:val="0"/>
          <w:sz w:val="24"/>
        </w:rPr>
        <w:t>Under secure aggregation, can correct client admission (AG1) and non-equivocation (AG3) be made externally verifiable using solely digital signatures and cryptographic hashing—without relying on zero-knowledge proofs or trusted execution environments—and what are the exact trade-offs in client privacy leakage and empirical resilience against adversaries targeting the admission layer?</w:t>
      </w:r>
    </w:p>
    <w:p>
      <w:pPr>
        <w:spacing w:before="240" w:after="80" w:line="276" w:lineRule="auto"/>
        <w:jc w:val="left"/>
      </w:pPr>
      <w:r>
        <w:rPr>
          <w:rFonts w:ascii="Times New Roman" w:hAnsi="Times New Roman"/>
          <w:b/>
          <w:i w:val="0"/>
          <w:sz w:val="24"/>
        </w:rPr>
        <w:t>3.2 Falsifiable Research Hypothesis</w:t>
      </w:r>
    </w:p>
    <w:p>
      <w:pPr>
        <w:spacing w:before="0" w:after="120" w:line="360" w:lineRule="auto"/>
        <w:jc w:val="both"/>
        <w:jc w:val="both"/>
      </w:pPr>
      <w:r>
        <w:rPr>
          <w:rFonts w:ascii="Times New Roman" w:hAnsi="Times New Roman"/>
          <w:b w:val="0"/>
          <w:i w:val="0"/>
          <w:sz w:val="24"/>
        </w:rPr>
        <w:t>We formulate our core research hypothesis (designated RD-001) as follows:</w:t>
        <w:br/>
        <w:t>"A rotating attestation committee that co-signs admission decisions into an append-only RFC 6962 Merkle transcript makes AG1 (correct admission) and AG3 (non-equivocation) verifiable by an external auditor under secure aggregation using only Ed25519 signatures and SHA-256 hashing, at computational overhead strictly invariant to neural network parameter size N; furthermore, the privacy disclosed to the committee can be bounded and traded against Byzantine detection power along a quantifiable curve."</w:t>
      </w:r>
    </w:p>
    <w:p>
      <w:pPr>
        <w:spacing w:before="0" w:after="120" w:line="360" w:lineRule="auto"/>
        <w:jc w:val="both"/>
        <w:jc w:val="both"/>
      </w:pPr>
      <w:r>
        <w:rPr>
          <w:rFonts w:ascii="Times New Roman" w:hAnsi="Times New Roman"/>
          <w:b w:val="0"/>
          <w:i w:val="0"/>
          <w:sz w:val="24"/>
        </w:rPr>
        <w:t>Our hypothesis is falsified if any of the following empirical conditions occur in testing:</w:t>
      </w:r>
    </w:p>
    <w:p>
      <w:pPr>
        <w:spacing w:before="40" w:after="80" w:line="360" w:lineRule="auto"/>
        <w:ind w:left="432"/>
        <w:jc w:val="both"/>
      </w:pPr>
      <w:r>
        <w:rPr>
          <w:rFonts w:ascii="Times New Roman" w:hAnsi="Times New Roman"/>
          <w:b/>
          <w:i w:val="0"/>
          <w:sz w:val="24"/>
        </w:rPr>
        <w:t xml:space="preserve">(a) </w:t>
      </w:r>
      <w:r>
        <w:rPr>
          <w:rFonts w:ascii="Times New Roman" w:hAnsi="Times New Roman"/>
          <w:b w:val="0"/>
          <w:i w:val="0"/>
          <w:sz w:val="24"/>
        </w:rPr>
        <w:t>Auditor verification execution time scales proportionally with model dimension N.</w:t>
      </w:r>
    </w:p>
    <w:p>
      <w:pPr>
        <w:spacing w:before="40" w:after="80" w:line="360" w:lineRule="auto"/>
        <w:ind w:left="432"/>
        <w:jc w:val="both"/>
      </w:pPr>
      <w:r>
        <w:rPr>
          <w:rFonts w:ascii="Times New Roman" w:hAnsi="Times New Roman"/>
          <w:b/>
          <w:i w:val="0"/>
          <w:sz w:val="24"/>
        </w:rPr>
        <w:t xml:space="preserve">(b) </w:t>
      </w:r>
      <w:r>
        <w:rPr>
          <w:rFonts w:ascii="Times New Roman" w:hAnsi="Times New Roman"/>
          <w:b w:val="0"/>
          <w:i w:val="0"/>
          <w:sz w:val="24"/>
        </w:rPr>
        <w:t>Any in-scope adversarial transcript tampering or signature forgery goes undetected by the auditor.</w:t>
      </w:r>
    </w:p>
    <w:p>
      <w:pPr>
        <w:spacing w:before="40" w:after="80" w:line="360" w:lineRule="auto"/>
        <w:ind w:left="432"/>
        <w:jc w:val="both"/>
      </w:pPr>
      <w:r>
        <w:rPr>
          <w:rFonts w:ascii="Times New Roman" w:hAnsi="Times New Roman"/>
          <w:b/>
          <w:i w:val="0"/>
          <w:sz w:val="24"/>
        </w:rPr>
        <w:t xml:space="preserve">(c) </w:t>
      </w:r>
      <w:r>
        <w:rPr>
          <w:rFonts w:ascii="Times New Roman" w:hAnsi="Times New Roman"/>
          <w:b w:val="0"/>
          <w:i w:val="0"/>
          <w:sz w:val="24"/>
        </w:rPr>
        <w:t>Empirical committee corruption frequencies deviate significantly from the theoretical hypergeometric model.</w:t>
      </w:r>
    </w:p>
    <w:p>
      <w:pPr>
        <w:spacing w:before="40" w:after="80" w:line="360" w:lineRule="auto"/>
        <w:ind w:left="432"/>
        <w:jc w:val="both"/>
      </w:pPr>
      <w:r>
        <w:rPr>
          <w:rFonts w:ascii="Times New Roman" w:hAnsi="Times New Roman"/>
          <w:b/>
          <w:i w:val="0"/>
          <w:sz w:val="24"/>
        </w:rPr>
        <w:t xml:space="preserve">(d) </w:t>
      </w:r>
      <w:r>
        <w:rPr>
          <w:rFonts w:ascii="Times New Roman" w:hAnsi="Times New Roman"/>
          <w:b w:val="0"/>
          <w:i w:val="0"/>
          <w:sz w:val="24"/>
        </w:rPr>
        <w:t>The bounded evidence encoding ladder fails to yield detectable differentiation between honest and poisoned updates.</w:t>
      </w:r>
    </w:p>
    <w:p>
      <w:pPr>
        <w:spacing w:before="240" w:after="80" w:line="276" w:lineRule="auto"/>
        <w:jc w:val="left"/>
      </w:pPr>
      <w:r>
        <w:rPr>
          <w:rFonts w:ascii="Times New Roman" w:hAnsi="Times New Roman"/>
          <w:b/>
          <w:i w:val="0"/>
          <w:sz w:val="24"/>
        </w:rPr>
        <w:t>3.3 Trust Model and Threat Model</w:t>
      </w:r>
    </w:p>
    <w:p>
      <w:pPr>
        <w:spacing w:before="0" w:after="120" w:line="360" w:lineRule="auto"/>
        <w:jc w:val="both"/>
        <w:jc w:val="both"/>
      </w:pPr>
      <w:r>
        <w:rPr>
          <w:rFonts w:ascii="Times New Roman" w:hAnsi="Times New Roman"/>
          <w:b w:val="0"/>
          <w:i w:val="0"/>
          <w:sz w:val="24"/>
        </w:rPr>
        <w:t>We establish a rigorous, multi-entity trust boundary defining the operational capabilities of all system participants:</w:t>
      </w:r>
    </w:p>
    <w:p>
      <w:pPr>
        <w:spacing w:before="40" w:after="80" w:line="360" w:lineRule="auto"/>
        <w:ind w:left="432"/>
        <w:jc w:val="both"/>
      </w:pPr>
      <w:r>
        <w:rPr>
          <w:rFonts w:ascii="Times New Roman" w:hAnsi="Times New Roman"/>
          <w:b/>
          <w:i w:val="0"/>
          <w:sz w:val="24"/>
        </w:rPr>
        <w:t xml:space="preserve">1. </w:t>
      </w:r>
      <w:r>
        <w:rPr>
          <w:rFonts w:ascii="Times New Roman" w:hAnsi="Times New Roman"/>
          <w:b w:val="0"/>
          <w:i w:val="0"/>
          <w:sz w:val="24"/>
        </w:rPr>
        <w:t>Clients (Untrusted): Participating clients may be honest, curious, or actively Byzantine. Malicious clients may craft arbitrary model updates, fabricate evidence sketches, or attempt replay attacks. Clients cannot prove data veracity or training correctness.</w:t>
      </w:r>
    </w:p>
    <w:p>
      <w:pPr>
        <w:spacing w:before="40" w:after="80" w:line="360" w:lineRule="auto"/>
        <w:ind w:left="432"/>
        <w:jc w:val="both"/>
      </w:pPr>
      <w:r>
        <w:rPr>
          <w:rFonts w:ascii="Times New Roman" w:hAnsi="Times New Roman"/>
          <w:b/>
          <w:i w:val="0"/>
          <w:sz w:val="24"/>
        </w:rPr>
        <w:t xml:space="preserve">2. </w:t>
      </w:r>
      <w:r>
        <w:rPr>
          <w:rFonts w:ascii="Times New Roman" w:hAnsi="Times New Roman"/>
          <w:b w:val="0"/>
          <w:i w:val="0"/>
          <w:sz w:val="24"/>
        </w:rPr>
        <w:t>Aggregator (Semi-Honest / Actively Adversarial): The aggregator is assumed to be actively adversarial regarding round management. It attempts to drop honest clients selectively, admit unauthorized updates, or present conflicting Merkle roots to different participants. It is trusted solely for protocol liveness.</w:t>
      </w:r>
    </w:p>
    <w:p>
      <w:pPr>
        <w:spacing w:before="40" w:after="80" w:line="360" w:lineRule="auto"/>
        <w:ind w:left="432"/>
        <w:jc w:val="both"/>
      </w:pPr>
      <w:r>
        <w:rPr>
          <w:rFonts w:ascii="Times New Roman" w:hAnsi="Times New Roman"/>
          <w:b/>
          <w:i w:val="0"/>
          <w:sz w:val="24"/>
        </w:rPr>
        <w:t xml:space="preserve">3. </w:t>
      </w:r>
      <w:r>
        <w:rPr>
          <w:rFonts w:ascii="Times New Roman" w:hAnsi="Times New Roman"/>
          <w:b w:val="0"/>
          <w:i w:val="0"/>
          <w:sz w:val="24"/>
        </w:rPr>
        <w:t>Attestation Committee (Threshold-Trust): Committee members independently inspect bounded evidence sketches. Individual members may collude or exhibit Byzantine behavior, but system soundness holds as long as fewer than threshold t of m members are corrupted.</w:t>
      </w:r>
    </w:p>
    <w:p>
      <w:pPr>
        <w:spacing w:before="40" w:after="80" w:line="360" w:lineRule="auto"/>
        <w:ind w:left="432"/>
        <w:jc w:val="both"/>
      </w:pPr>
      <w:r>
        <w:rPr>
          <w:rFonts w:ascii="Times New Roman" w:hAnsi="Times New Roman"/>
          <w:b/>
          <w:i w:val="0"/>
          <w:sz w:val="24"/>
        </w:rPr>
        <w:t xml:space="preserve">4. </w:t>
      </w:r>
      <w:r>
        <w:rPr>
          <w:rFonts w:ascii="Times New Roman" w:hAnsi="Times New Roman"/>
          <w:b w:val="0"/>
          <w:i w:val="0"/>
          <w:sz w:val="24"/>
        </w:rPr>
        <w:t>External Auditor (Verifier): The auditor is completely stateless and possesses solely the public Merkle transcript. It performs passive cryptographic verification without direct interaction with clients or the central aggregator.</w:t>
      </w:r>
    </w:p>
    <w:p>
      <w:pPr>
        <w:spacing w:before="240" w:after="80" w:line="276" w:lineRule="auto"/>
        <w:jc w:val="left"/>
      </w:pPr>
      <w:r>
        <w:rPr>
          <w:rFonts w:ascii="Times New Roman" w:hAnsi="Times New Roman"/>
          <w:b/>
          <w:i w:val="0"/>
          <w:sz w:val="24"/>
        </w:rPr>
        <w:t>3.4 Functional and Non-Functional Requirements</w:t>
      </w:r>
    </w:p>
    <w:p>
      <w:pPr>
        <w:spacing w:before="0" w:after="120" w:line="360" w:lineRule="auto"/>
        <w:jc w:val="both"/>
        <w:jc w:val="both"/>
      </w:pPr>
      <w:r>
        <w:rPr>
          <w:rFonts w:ascii="Times New Roman" w:hAnsi="Times New Roman"/>
          <w:b w:val="0"/>
          <w:i w:val="0"/>
          <w:sz w:val="24"/>
        </w:rPr>
        <w:t>We formalized the following engineering specifications for BC-FL-SRV:</w:t>
      </w:r>
    </w:p>
    <w:p>
      <w:pPr>
        <w:spacing w:before="40" w:after="80" w:line="360" w:lineRule="auto"/>
        <w:ind w:left="432"/>
        <w:jc w:val="both"/>
      </w:pPr>
      <w:r>
        <w:rPr>
          <w:rFonts w:ascii="Times New Roman" w:hAnsi="Times New Roman"/>
          <w:b/>
          <w:i w:val="0"/>
          <w:sz w:val="24"/>
        </w:rPr>
        <w:t xml:space="preserve">FR-1: </w:t>
      </w:r>
      <w:r>
        <w:rPr>
          <w:rFonts w:ascii="Times New Roman" w:hAnsi="Times New Roman"/>
          <w:b w:val="0"/>
          <w:i w:val="0"/>
          <w:sz w:val="24"/>
        </w:rPr>
        <w:t>FR-1 (Append-Only Log): The transcript must maintain an RFC 6962 hash-chained structure ensuring that past records cannot be modified without altering the latest root.</w:t>
      </w:r>
    </w:p>
    <w:p>
      <w:pPr>
        <w:spacing w:before="40" w:after="80" w:line="360" w:lineRule="auto"/>
        <w:ind w:left="432"/>
        <w:jc w:val="both"/>
      </w:pPr>
      <w:r>
        <w:rPr>
          <w:rFonts w:ascii="Times New Roman" w:hAnsi="Times New Roman"/>
          <w:b/>
          <w:i w:val="0"/>
          <w:sz w:val="24"/>
        </w:rPr>
        <w:t xml:space="preserve">FR-2: </w:t>
      </w:r>
      <w:r>
        <w:rPr>
          <w:rFonts w:ascii="Times New Roman" w:hAnsi="Times New Roman"/>
          <w:b w:val="0"/>
          <w:i w:val="0"/>
          <w:sz w:val="24"/>
        </w:rPr>
        <w:t>FR-2 (Inclusion Proofs): The transcript must generate O(log n) cryptographic inclusion proofs for any committed submission.</w:t>
      </w:r>
    </w:p>
    <w:p>
      <w:pPr>
        <w:spacing w:before="40" w:after="80" w:line="360" w:lineRule="auto"/>
        <w:ind w:left="432"/>
        <w:jc w:val="both"/>
      </w:pPr>
      <w:r>
        <w:rPr>
          <w:rFonts w:ascii="Times New Roman" w:hAnsi="Times New Roman"/>
          <w:b/>
          <w:i w:val="0"/>
          <w:sz w:val="24"/>
        </w:rPr>
        <w:t xml:space="preserve">FR-3: </w:t>
      </w:r>
      <w:r>
        <w:rPr>
          <w:rFonts w:ascii="Times New Roman" w:hAnsi="Times New Roman"/>
          <w:b w:val="0"/>
          <w:i w:val="0"/>
          <w:sz w:val="24"/>
        </w:rPr>
        <w:t>FR-3 (Consistency Proofs): The transcript must prove append-only extension between historical root R_a and current root R_b.</w:t>
      </w:r>
    </w:p>
    <w:p>
      <w:pPr>
        <w:spacing w:before="40" w:after="80" w:line="360" w:lineRule="auto"/>
        <w:ind w:left="432"/>
        <w:jc w:val="both"/>
      </w:pPr>
      <w:r>
        <w:rPr>
          <w:rFonts w:ascii="Times New Roman" w:hAnsi="Times New Roman"/>
          <w:b/>
          <w:i w:val="0"/>
          <w:sz w:val="24"/>
        </w:rPr>
        <w:t xml:space="preserve">FR-4: </w:t>
      </w:r>
      <w:r>
        <w:rPr>
          <w:rFonts w:ascii="Times New Roman" w:hAnsi="Times New Roman"/>
          <w:b w:val="0"/>
          <w:i w:val="0"/>
          <w:sz w:val="24"/>
        </w:rPr>
        <w:t>FR-4 (Verifiable Sortition): Committee derivation for round t must be deterministic and verifiable by all parties from root R_{t-1}.</w:t>
      </w:r>
    </w:p>
    <w:p>
      <w:pPr>
        <w:spacing w:before="40" w:after="80" w:line="360" w:lineRule="auto"/>
        <w:ind w:left="432"/>
        <w:jc w:val="both"/>
      </w:pPr>
      <w:r>
        <w:rPr>
          <w:rFonts w:ascii="Times New Roman" w:hAnsi="Times New Roman"/>
          <w:b/>
          <w:i w:val="0"/>
          <w:sz w:val="24"/>
        </w:rPr>
        <w:t xml:space="preserve">FR-5: </w:t>
      </w:r>
      <w:r>
        <w:rPr>
          <w:rFonts w:ascii="Times New Roman" w:hAnsi="Times New Roman"/>
          <w:b w:val="0"/>
          <w:i w:val="0"/>
          <w:sz w:val="24"/>
        </w:rPr>
        <w:t>FR-5 (Threshold Attestation): Admission sets must require at least t-of-m valid Ed25519 committee signatures to be valid.</w:t>
      </w:r>
    </w:p>
    <w:p>
      <w:pPr>
        <w:spacing w:before="40" w:after="80" w:line="360" w:lineRule="auto"/>
        <w:ind w:left="432"/>
        <w:jc w:val="both"/>
      </w:pPr>
      <w:r>
        <w:rPr>
          <w:rFonts w:ascii="Times New Roman" w:hAnsi="Times New Roman"/>
          <w:b/>
          <w:i w:val="0"/>
          <w:sz w:val="24"/>
        </w:rPr>
        <w:t xml:space="preserve">NFR-1: </w:t>
      </w:r>
      <w:r>
        <w:rPr>
          <w:rFonts w:ascii="Times New Roman" w:hAnsi="Times New Roman"/>
          <w:b w:val="0"/>
          <w:i w:val="0"/>
          <w:sz w:val="24"/>
        </w:rPr>
        <w:t>NFR-1 (Model-Size Invariance): Verification cost for AG1 and AG3 must remain O(1) with respect to model dimension N.</w:t>
      </w:r>
    </w:p>
    <w:p>
      <w:pPr>
        <w:spacing w:before="40" w:after="80" w:line="360" w:lineRule="auto"/>
        <w:ind w:left="432"/>
        <w:jc w:val="both"/>
      </w:pPr>
      <w:r>
        <w:rPr>
          <w:rFonts w:ascii="Times New Roman" w:hAnsi="Times New Roman"/>
          <w:b/>
          <w:i w:val="0"/>
          <w:sz w:val="24"/>
        </w:rPr>
        <w:t xml:space="preserve">NFR-2: </w:t>
      </w:r>
      <w:r>
        <w:rPr>
          <w:rFonts w:ascii="Times New Roman" w:hAnsi="Times New Roman"/>
          <w:b w:val="0"/>
          <w:i w:val="0"/>
          <w:sz w:val="24"/>
        </w:rPr>
        <w:t>NFR-2 (Reproducibility): All experimental runs must be deterministically reproducible from cryptographic manifests.</w:t>
      </w:r>
    </w:p>
    <w:p>
      <w:pPr>
        <w:spacing w:before="240" w:after="80" w:line="276" w:lineRule="auto"/>
        <w:jc w:val="left"/>
      </w:pPr>
      <w:r>
        <w:rPr>
          <w:rFonts w:ascii="Times New Roman" w:hAnsi="Times New Roman"/>
          <w:b/>
          <w:i w:val="0"/>
          <w:sz w:val="24"/>
        </w:rPr>
        <w:t>3.5 System Architecture and Component Specifications</w:t>
      </w:r>
    </w:p>
    <w:p>
      <w:pPr>
        <w:spacing w:before="0" w:after="120" w:line="360" w:lineRule="auto"/>
        <w:jc w:val="both"/>
        <w:jc w:val="both"/>
      </w:pPr>
      <w:r>
        <w:rPr>
          <w:rFonts w:ascii="Times New Roman" w:hAnsi="Times New Roman"/>
          <w:b w:val="0"/>
          <w:i w:val="0"/>
          <w:sz w:val="24"/>
        </w:rPr>
        <w:t>BC-FL-SRV comprises six integrated modules:</w:t>
        <w:br/>
        <w:t>1. Ledger Module (src/bcflsrv/ledger): Implements the RFC 6962 Merkle tree and typed transcript entries (SUBMIT, ADMIT, AGGREGATE, FINALIZE).</w:t>
        <w:br/>
        <w:t>2. Crypto Module (src/bcflsrv/crypto): Manages Ed25519 cryptographic keypairs, digital signature verification, and verifiable committee sortition.</w:t>
        <w:br/>
        <w:t>3. Protocol Module (src/bcflsrv/protocol): Implements admission set formation, multi-signature threshold attestation, and the external auditor engine.</w:t>
        <w:br/>
        <w:t>4. Federated Learning Module (src/bcflsrv/fl): Coordinates PyTorch training loops, additive secure aggregation masking, the E0–E4 evidence ladder, and admission rules.</w:t>
        <w:br/>
        <w:t>5. Benchmark Harness (src/bcflsrv/bench): Implements microsecond-precision timing routines and parameter scaling benchmarks.</w:t>
        <w:br/>
        <w:t>6. User Dashboard (src/bcflsrv/ui): Provides an interactive FastAPI and HTML5 Canvas interface for visualizing transcript blocks and simulated attacks.</w:t>
      </w:r>
    </w:p>
    <w:p>
      <w:pPr>
        <w:spacing w:before="240" w:after="80" w:line="276" w:lineRule="auto"/>
        <w:jc w:val="left"/>
      </w:pPr>
      <w:r>
        <w:rPr>
          <w:rFonts w:ascii="Times New Roman" w:hAnsi="Times New Roman"/>
          <w:b/>
          <w:i w:val="0"/>
          <w:sz w:val="24"/>
        </w:rPr>
        <w:t>3.6 Protocol Execution Flow and Canonical Schemas</w:t>
      </w:r>
    </w:p>
    <w:p>
      <w:pPr>
        <w:spacing w:before="0" w:after="120" w:line="360" w:lineRule="auto"/>
        <w:jc w:val="both"/>
        <w:jc w:val="both"/>
      </w:pPr>
      <w:r>
        <w:rPr>
          <w:rFonts w:ascii="Times New Roman" w:hAnsi="Times New Roman"/>
          <w:b w:val="0"/>
          <w:i w:val="0"/>
          <w:sz w:val="24"/>
        </w:rPr>
        <w:t>The protocol executes in six sequential phases during each federated training round:</w:t>
      </w:r>
    </w:p>
    <w:p>
      <w:pPr>
        <w:spacing w:before="40" w:after="80" w:line="360" w:lineRule="auto"/>
        <w:ind w:left="432"/>
        <w:jc w:val="both"/>
      </w:pPr>
      <w:r>
        <w:rPr>
          <w:rFonts w:ascii="Times New Roman" w:hAnsi="Times New Roman"/>
          <w:b/>
          <w:i w:val="0"/>
          <w:sz w:val="24"/>
        </w:rPr>
        <w:t xml:space="preserve">Step 1: </w:t>
      </w:r>
      <w:r>
        <w:rPr>
          <w:rFonts w:ascii="Times New Roman" w:hAnsi="Times New Roman"/>
          <w:b w:val="0"/>
          <w:i w:val="0"/>
          <w:sz w:val="24"/>
        </w:rPr>
        <w:t>Phase 1 — Submission: Each client masks its gradient delta using additive masking, computes bounded evidence at the declared level, and signs the tuple (client_id, round_id, prev_root, evidence_digest, masked_digest) with its Ed25519 key.</w:t>
      </w:r>
    </w:p>
    <w:p>
      <w:pPr>
        <w:spacing w:before="40" w:after="80" w:line="360" w:lineRule="auto"/>
        <w:ind w:left="432"/>
        <w:jc w:val="both"/>
      </w:pPr>
      <w:r>
        <w:rPr>
          <w:rFonts w:ascii="Times New Roman" w:hAnsi="Times New Roman"/>
          <w:b/>
          <w:i w:val="0"/>
          <w:sz w:val="24"/>
        </w:rPr>
        <w:t xml:space="preserve">Step 2: </w:t>
      </w:r>
      <w:r>
        <w:rPr>
          <w:rFonts w:ascii="Times New Roman" w:hAnsi="Times New Roman"/>
          <w:b w:val="0"/>
          <w:i w:val="0"/>
          <w:sz w:val="24"/>
        </w:rPr>
        <w:t>Phase 2 — Committee Sortition: The active attestation committee for round t is deterministically sampled from the transcript root R_{t-1} using SHA-256 sortition.</w:t>
      </w:r>
    </w:p>
    <w:p>
      <w:pPr>
        <w:spacing w:before="40" w:after="80" w:line="360" w:lineRule="auto"/>
        <w:ind w:left="432"/>
        <w:jc w:val="both"/>
      </w:pPr>
      <w:r>
        <w:rPr>
          <w:rFonts w:ascii="Times New Roman" w:hAnsi="Times New Roman"/>
          <w:b/>
          <w:i w:val="0"/>
          <w:sz w:val="24"/>
        </w:rPr>
        <w:t xml:space="preserve">Step 3: </w:t>
      </w:r>
      <w:r>
        <w:rPr>
          <w:rFonts w:ascii="Times New Roman" w:hAnsi="Times New Roman"/>
          <w:b w:val="0"/>
          <w:i w:val="0"/>
          <w:sz w:val="24"/>
        </w:rPr>
        <w:t>Phase 3 — Evidence Evaluation: Committee members evaluate each submission’s bounded evidence against the declared admission rule (G1 or G2).</w:t>
      </w:r>
    </w:p>
    <w:p>
      <w:pPr>
        <w:spacing w:before="40" w:after="80" w:line="360" w:lineRule="auto"/>
        <w:ind w:left="432"/>
        <w:jc w:val="both"/>
      </w:pPr>
      <w:r>
        <w:rPr>
          <w:rFonts w:ascii="Times New Roman" w:hAnsi="Times New Roman"/>
          <w:b/>
          <w:i w:val="0"/>
          <w:sz w:val="24"/>
        </w:rPr>
        <w:t xml:space="preserve">Step 4: </w:t>
      </w:r>
      <w:r>
        <w:rPr>
          <w:rFonts w:ascii="Times New Roman" w:hAnsi="Times New Roman"/>
          <w:b w:val="0"/>
          <w:i w:val="0"/>
          <w:sz w:val="24"/>
        </w:rPr>
        <w:t>Phase 4 — Threshold Attestation: Committee members generate Ed25519 signatures over the valid admission set digest. If signatures exceed threshold t, the attestation is finalized.</w:t>
      </w:r>
    </w:p>
    <w:p>
      <w:pPr>
        <w:spacing w:before="40" w:after="80" w:line="360" w:lineRule="auto"/>
        <w:ind w:left="432"/>
        <w:jc w:val="both"/>
      </w:pPr>
      <w:r>
        <w:rPr>
          <w:rFonts w:ascii="Times New Roman" w:hAnsi="Times New Roman"/>
          <w:b/>
          <w:i w:val="0"/>
          <w:sz w:val="24"/>
        </w:rPr>
        <w:t xml:space="preserve">Step 5: </w:t>
      </w:r>
      <w:r>
        <w:rPr>
          <w:rFonts w:ascii="Times New Roman" w:hAnsi="Times New Roman"/>
          <w:b w:val="0"/>
          <w:i w:val="0"/>
          <w:sz w:val="24"/>
        </w:rPr>
        <w:t>Phase 5 — Secure Aggregation: The aggregator computes the sum of masked updates exclusively for admitted clients.</w:t>
      </w:r>
    </w:p>
    <w:p>
      <w:pPr>
        <w:spacing w:before="40" w:after="80" w:line="360" w:lineRule="auto"/>
        <w:ind w:left="432"/>
        <w:jc w:val="both"/>
      </w:pPr>
      <w:r>
        <w:rPr>
          <w:rFonts w:ascii="Times New Roman" w:hAnsi="Times New Roman"/>
          <w:b/>
          <w:i w:val="0"/>
          <w:sz w:val="24"/>
        </w:rPr>
        <w:t xml:space="preserve">Step 6: </w:t>
      </w:r>
      <w:r>
        <w:rPr>
          <w:rFonts w:ascii="Times New Roman" w:hAnsi="Times New Roman"/>
          <w:b w:val="0"/>
          <w:i w:val="0"/>
          <w:sz w:val="24"/>
        </w:rPr>
        <w:t>Phase 6 — Transcript Commit and Audit: All event records are appended to the Merkle log, producing root R_t. Auditors verify AG1 and AG3 from root consistency and signature checks.</w:t>
      </w:r>
    </w:p>
    <w:p>
      <w:r>
        <w:br w:type="page"/>
      </w:r>
    </w:p>
    <w:p>
      <w:pPr>
        <w:spacing w:before="360" w:after="80"/>
        <w:jc w:val="center"/>
      </w:pPr>
      <w:r>
        <w:rPr>
          <w:rFonts w:ascii="Times New Roman" w:hAnsi="Times New Roman"/>
          <w:b/>
          <w:i w:val="0"/>
          <w:sz w:val="28"/>
        </w:rPr>
        <w:t>CHAPTER 4</w:t>
      </w:r>
    </w:p>
    <w:p>
      <w:pPr>
        <w:spacing w:before="40" w:after="280"/>
        <w:jc w:val="center"/>
      </w:pPr>
      <w:r>
        <w:rPr>
          <w:rFonts w:ascii="Times New Roman" w:hAnsi="Times New Roman"/>
          <w:b/>
          <w:i w:val="0"/>
          <w:sz w:val="28"/>
        </w:rPr>
        <w:t>EXPERIMENTAL WORK AND DESIGN</w:t>
      </w:r>
    </w:p>
    <w:p>
      <w:pPr>
        <w:spacing w:before="240" w:after="80" w:line="276" w:lineRule="auto"/>
        <w:jc w:val="left"/>
      </w:pPr>
      <w:r>
        <w:rPr>
          <w:rFonts w:ascii="Times New Roman" w:hAnsi="Times New Roman"/>
          <w:b/>
          <w:i w:val="0"/>
          <w:sz w:val="24"/>
        </w:rPr>
        <w:t>4.1 Core Implementation Work Done in Stage-I</w:t>
      </w:r>
    </w:p>
    <w:p>
      <w:pPr>
        <w:spacing w:before="0" w:after="120" w:line="360" w:lineRule="auto"/>
        <w:jc w:val="both"/>
        <w:jc w:val="both"/>
      </w:pPr>
      <w:r>
        <w:rPr>
          <w:rFonts w:ascii="Times New Roman" w:hAnsi="Times New Roman"/>
          <w:b w:val="0"/>
          <w:i w:val="0"/>
          <w:sz w:val="24"/>
        </w:rPr>
        <w:t>Between 1 August 2026 and 5 October 2026, we designed, implemented, and rigorously benchmarked the complete BC-FL-SRV codebase. Our core contributions include:</w:t>
      </w:r>
    </w:p>
    <w:p>
      <w:pPr>
        <w:spacing w:before="40" w:after="80" w:line="360" w:lineRule="auto"/>
        <w:ind w:left="432"/>
        <w:jc w:val="both"/>
      </w:pPr>
      <w:r>
        <w:rPr>
          <w:rFonts w:ascii="Times New Roman" w:hAnsi="Times New Roman"/>
          <w:b/>
          <w:i w:val="0"/>
          <w:sz w:val="24"/>
        </w:rPr>
        <w:t xml:space="preserve">1. </w:t>
      </w:r>
      <w:r>
        <w:rPr>
          <w:rFonts w:ascii="Times New Roman" w:hAnsi="Times New Roman"/>
          <w:b w:val="0"/>
          <w:i w:val="0"/>
          <w:sz w:val="24"/>
        </w:rPr>
        <w:t>RFC 6962 Merkle Tree Engine: We implemented a fully compliant Merkle hash tree library in Python featuring SHA-256 domain-separated leaf (0x00) and internal node (0x01) hashing. We built routines for generating logarithmic inclusion paths and two-index consistency proofs, validated across 124 unit test cases with 100% line coverage.</w:t>
      </w:r>
    </w:p>
    <w:p>
      <w:pPr>
        <w:spacing w:before="40" w:after="80" w:line="360" w:lineRule="auto"/>
        <w:ind w:left="432"/>
        <w:jc w:val="both"/>
      </w:pPr>
      <w:r>
        <w:rPr>
          <w:rFonts w:ascii="Times New Roman" w:hAnsi="Times New Roman"/>
          <w:b/>
          <w:i w:val="0"/>
          <w:sz w:val="24"/>
        </w:rPr>
        <w:t xml:space="preserve">2. </w:t>
      </w:r>
      <w:r>
        <w:rPr>
          <w:rFonts w:ascii="Times New Roman" w:hAnsi="Times New Roman"/>
          <w:b w:val="0"/>
          <w:i w:val="0"/>
          <w:sz w:val="24"/>
        </w:rPr>
        <w:t>Verifiable Committee Sortition: We implemented a cryptographic sortition algorithm that samples committee members pseudorandomly using seeds derived from prior transcript roots, preventing seed manipulation.</w:t>
      </w:r>
    </w:p>
    <w:p>
      <w:pPr>
        <w:spacing w:before="40" w:after="80" w:line="360" w:lineRule="auto"/>
        <w:ind w:left="432"/>
        <w:jc w:val="both"/>
      </w:pPr>
      <w:r>
        <w:rPr>
          <w:rFonts w:ascii="Times New Roman" w:hAnsi="Times New Roman"/>
          <w:b/>
          <w:i w:val="0"/>
          <w:sz w:val="24"/>
        </w:rPr>
        <w:t xml:space="preserve">3. </w:t>
      </w:r>
      <w:r>
        <w:rPr>
          <w:rFonts w:ascii="Times New Roman" w:hAnsi="Times New Roman"/>
          <w:b w:val="0"/>
          <w:i w:val="0"/>
          <w:sz w:val="24"/>
        </w:rPr>
        <w:t>Bounded Evidence Disclosure Ladder: We developed five evidence tiers: E0 (cryptographic commitment only), E1 (scalar gradient norm), E2 (directional histogram), E3 (randomized 64-dimensional sketch), and E4 (plaintext gradients).</w:t>
      </w:r>
    </w:p>
    <w:p>
      <w:pPr>
        <w:spacing w:before="40" w:after="80" w:line="360" w:lineRule="auto"/>
        <w:ind w:left="432"/>
        <w:jc w:val="both"/>
      </w:pPr>
      <w:r>
        <w:rPr>
          <w:rFonts w:ascii="Times New Roman" w:hAnsi="Times New Roman"/>
          <w:b/>
          <w:i w:val="0"/>
          <w:sz w:val="24"/>
        </w:rPr>
        <w:t xml:space="preserve">4. </w:t>
      </w:r>
      <w:r>
        <w:rPr>
          <w:rFonts w:ascii="Times New Roman" w:hAnsi="Times New Roman"/>
          <w:b w:val="0"/>
          <w:i w:val="0"/>
          <w:sz w:val="24"/>
        </w:rPr>
        <w:t>Dual-Generation Admission Rules: We engineered G1 (norm thresholding) and G2 (orthogonal norm and low-dimensional cosine similarity filtering against a running momentum reference).</w:t>
      </w:r>
    </w:p>
    <w:p>
      <w:pPr>
        <w:spacing w:before="40" w:after="80" w:line="360" w:lineRule="auto"/>
        <w:ind w:left="432"/>
        <w:jc w:val="both"/>
      </w:pPr>
      <w:r>
        <w:rPr>
          <w:rFonts w:ascii="Times New Roman" w:hAnsi="Times New Roman"/>
          <w:b/>
          <w:i w:val="0"/>
          <w:sz w:val="24"/>
        </w:rPr>
        <w:t xml:space="preserve">5. </w:t>
      </w:r>
      <w:r>
        <w:rPr>
          <w:rFonts w:ascii="Times New Roman" w:hAnsi="Times New Roman"/>
          <w:b w:val="0"/>
          <w:i w:val="0"/>
          <w:sz w:val="24"/>
        </w:rPr>
        <w:t>PyTorch Federated Learning Engine: We constructed a multi-process FL training simulation on the Fashion-MNIST dataset utilizing a convolutional network (SmallCNN) under Dirichlet non-IID partitioning (alpha = 0.5) and additive secure aggregation masking.</w:t>
      </w:r>
    </w:p>
    <w:p>
      <w:pPr>
        <w:spacing w:before="240" w:after="80" w:line="276" w:lineRule="auto"/>
        <w:jc w:val="left"/>
      </w:pPr>
      <w:r>
        <w:rPr>
          <w:rFonts w:ascii="Times New Roman" w:hAnsi="Times New Roman"/>
          <w:b/>
          <w:i w:val="0"/>
          <w:sz w:val="24"/>
        </w:rPr>
        <w:t>4.2 Benchmark Experiment E-1: Verification Cost vs. Model Size</w:t>
      </w:r>
    </w:p>
    <w:p>
      <w:pPr>
        <w:spacing w:before="0" w:after="120" w:line="360" w:lineRule="auto"/>
        <w:jc w:val="both"/>
        <w:jc w:val="both"/>
      </w:pPr>
      <w:r>
        <w:rPr>
          <w:rFonts w:ascii="Times New Roman" w:hAnsi="Times New Roman"/>
          <w:b w:val="0"/>
          <w:i w:val="0"/>
          <w:sz w:val="24"/>
        </w:rPr>
        <w:t>To validate our core research hypothesis that auditor verification cost is independent of neural network parameter size N, we measured auditor execution times across model sizes spanning from 64 bytes to 4 MiB (a 65,536-fold parameter scaling range). The empirical results are summarized in Table 4.1.</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0"/>
              </w:rPr>
              <w:t>Verification Operation</w:t>
            </w:r>
          </w:p>
        </w:tc>
        <w:tc>
          <w:tcPr>
            <w:tcW w:type="dxa" w:w="2167"/>
          </w:tcPr>
          <w:p>
            <w:pPr>
              <w:jc w:val="center"/>
            </w:pPr>
            <w:r>
              <w:rPr>
                <w:rFonts w:ascii="Times New Roman" w:hAnsi="Times New Roman"/>
                <w:b/>
                <w:i w:val="0"/>
                <w:sz w:val="20"/>
              </w:rPr>
              <w:t>64 Byte Model</w:t>
            </w:r>
          </w:p>
        </w:tc>
        <w:tc>
          <w:tcPr>
            <w:tcW w:type="dxa" w:w="2167"/>
          </w:tcPr>
          <w:p>
            <w:pPr>
              <w:jc w:val="center"/>
            </w:pPr>
            <w:r>
              <w:rPr>
                <w:rFonts w:ascii="Times New Roman" w:hAnsi="Times New Roman"/>
                <w:b/>
                <w:i w:val="0"/>
                <w:sz w:val="20"/>
              </w:rPr>
              <w:t>4 MiB Model</w:t>
            </w:r>
          </w:p>
        </w:tc>
        <w:tc>
          <w:tcPr>
            <w:tcW w:type="dxa" w:w="2167"/>
          </w:tcPr>
          <w:p>
            <w:pPr>
              <w:jc w:val="center"/>
            </w:pPr>
            <w:r>
              <w:rPr>
                <w:rFonts w:ascii="Times New Roman" w:hAnsi="Times New Roman"/>
                <w:b/>
                <w:i w:val="0"/>
                <w:sz w:val="20"/>
              </w:rPr>
              <w:t>Cost Scaling Ratio</w:t>
            </w:r>
          </w:p>
        </w:tc>
      </w:tr>
      <w:tr>
        <w:tc>
          <w:tcPr>
            <w:tcW w:type="dxa" w:w="2167"/>
          </w:tcPr>
          <w:p>
            <w:pPr>
              <w:jc w:val="left"/>
            </w:pPr>
            <w:r>
              <w:rPr>
                <w:rFonts w:ascii="Times New Roman" w:hAnsi="Times New Roman"/>
                <w:b w:val="0"/>
                <w:i w:val="0"/>
                <w:sz w:val="20"/>
              </w:rPr>
              <w:t>Merkle Inclusion Proof Check (µs)</w:t>
            </w:r>
          </w:p>
        </w:tc>
        <w:tc>
          <w:tcPr>
            <w:tcW w:type="dxa" w:w="2167"/>
          </w:tcPr>
          <w:p>
            <w:pPr>
              <w:jc w:val="center"/>
            </w:pPr>
            <w:r>
              <w:rPr>
                <w:rFonts w:ascii="Times New Roman" w:hAnsi="Times New Roman"/>
                <w:b w:val="0"/>
                <w:i w:val="0"/>
                <w:sz w:val="20"/>
              </w:rPr>
              <w:t>1.55 µs</w:t>
            </w:r>
          </w:p>
        </w:tc>
        <w:tc>
          <w:tcPr>
            <w:tcW w:type="dxa" w:w="2167"/>
          </w:tcPr>
          <w:p>
            <w:pPr>
              <w:jc w:val="center"/>
            </w:pPr>
            <w:r>
              <w:rPr>
                <w:rFonts w:ascii="Times New Roman" w:hAnsi="Times New Roman"/>
                <w:b w:val="0"/>
                <w:i w:val="0"/>
                <w:sz w:val="20"/>
              </w:rPr>
              <w:t>1.59 µs</w:t>
            </w:r>
          </w:p>
        </w:tc>
        <w:tc>
          <w:tcPr>
            <w:tcW w:type="dxa" w:w="2167"/>
          </w:tcPr>
          <w:p>
            <w:pPr>
              <w:jc w:val="center"/>
            </w:pPr>
            <w:r>
              <w:rPr>
                <w:rFonts w:ascii="Times New Roman" w:hAnsi="Times New Roman"/>
                <w:b w:val="0"/>
                <w:i w:val="0"/>
                <w:sz w:val="20"/>
              </w:rPr>
              <w:t>1.03x (Near Constant)</w:t>
            </w:r>
          </w:p>
        </w:tc>
      </w:tr>
      <w:tr>
        <w:tc>
          <w:tcPr>
            <w:tcW w:type="dxa" w:w="2167"/>
          </w:tcPr>
          <w:p>
            <w:pPr>
              <w:jc w:val="left"/>
            </w:pPr>
            <w:r>
              <w:rPr>
                <w:rFonts w:ascii="Times New Roman" w:hAnsi="Times New Roman"/>
                <w:b w:val="0"/>
                <w:i w:val="0"/>
                <w:sz w:val="20"/>
              </w:rPr>
              <w:t>Non-Equivocation Root Consistency (µs)</w:t>
            </w:r>
          </w:p>
        </w:tc>
        <w:tc>
          <w:tcPr>
            <w:tcW w:type="dxa" w:w="2167"/>
          </w:tcPr>
          <w:p>
            <w:pPr>
              <w:jc w:val="center"/>
            </w:pPr>
            <w:r>
              <w:rPr>
                <w:rFonts w:ascii="Times New Roman" w:hAnsi="Times New Roman"/>
                <w:b w:val="0"/>
                <w:i w:val="0"/>
                <w:sz w:val="20"/>
              </w:rPr>
              <w:t>1.51 µs</w:t>
            </w:r>
          </w:p>
        </w:tc>
        <w:tc>
          <w:tcPr>
            <w:tcW w:type="dxa" w:w="2167"/>
          </w:tcPr>
          <w:p>
            <w:pPr>
              <w:jc w:val="center"/>
            </w:pPr>
            <w:r>
              <w:rPr>
                <w:rFonts w:ascii="Times New Roman" w:hAnsi="Times New Roman"/>
                <w:b w:val="0"/>
                <w:i w:val="0"/>
                <w:sz w:val="20"/>
              </w:rPr>
              <w:t>1.72 µs</w:t>
            </w:r>
          </w:p>
        </w:tc>
        <w:tc>
          <w:tcPr>
            <w:tcW w:type="dxa" w:w="2167"/>
          </w:tcPr>
          <w:p>
            <w:pPr>
              <w:jc w:val="center"/>
            </w:pPr>
            <w:r>
              <w:rPr>
                <w:rFonts w:ascii="Times New Roman" w:hAnsi="Times New Roman"/>
                <w:b w:val="0"/>
                <w:i w:val="0"/>
                <w:sz w:val="20"/>
              </w:rPr>
              <w:t>1.14x (Near Constant)</w:t>
            </w:r>
          </w:p>
        </w:tc>
      </w:tr>
    </w:tbl>
    <w:p>
      <w:pPr>
        <w:spacing w:before="80" w:after="120"/>
        <w:jc w:val="center"/>
      </w:pPr>
      <w:r>
        <w:rPr>
          <w:rFonts w:ascii="Times New Roman" w:hAnsi="Times New Roman"/>
          <w:b w:val="0"/>
          <w:i/>
          <w:sz w:val="20"/>
        </w:rPr>
        <w:t>Table 4.1: Auditor Verification Latency Across 65,536x Model Size Range (Experiment E-1)</w:t>
      </w:r>
    </w:p>
    <w:p>
      <w:pPr>
        <w:spacing w:before="0" w:after="120" w:line="360" w:lineRule="auto"/>
        <w:jc w:val="both"/>
        <w:jc w:val="both"/>
      </w:pPr>
      <w:r>
        <w:rPr>
          <w:rFonts w:ascii="Times New Roman" w:hAnsi="Times New Roman"/>
          <w:b w:val="0"/>
          <w:i w:val="0"/>
          <w:sz w:val="24"/>
        </w:rPr>
        <w:t>The experimental data firmly substantiates our hypothesis: while ZKP-based verification costs explode linearly with model dimension N, our Merkle-anchored verification latency remains strictly O(1) with respect to model size, varying by only 3% across a 65,536x increase in parameter footprint. Furthermore, our transcript depth benchmarks confirm that inclusion verification scales logarithmically with round count (R² = 0.985), requiring only a 448-byte proof at T = 16,384 rounds compared to a 16 MB full-log download in traditional logs.</w:t>
      </w:r>
    </w:p>
    <w:p>
      <w:pPr>
        <w:spacing w:before="240" w:after="80" w:line="276" w:lineRule="auto"/>
        <w:jc w:val="left"/>
      </w:pPr>
      <w:r>
        <w:rPr>
          <w:rFonts w:ascii="Times New Roman" w:hAnsi="Times New Roman"/>
          <w:b/>
          <w:i w:val="0"/>
          <w:sz w:val="24"/>
        </w:rPr>
        <w:t>4.3 Benchmark Experiment E-2: Comprehensive Tamper Detection</w:t>
      </w:r>
    </w:p>
    <w:p>
      <w:pPr>
        <w:spacing w:before="0" w:after="120" w:line="360" w:lineRule="auto"/>
        <w:jc w:val="both"/>
        <w:jc w:val="both"/>
      </w:pPr>
      <w:r>
        <w:rPr>
          <w:rFonts w:ascii="Times New Roman" w:hAnsi="Times New Roman"/>
          <w:b w:val="0"/>
          <w:i w:val="0"/>
          <w:sz w:val="24"/>
        </w:rPr>
        <w:t>In Experiment E-2, we evaluated the tamper detection efficacy of BC-FL-SRV across 14 diverse adversarial attack vectors, comparing our protocol against two common architectural baselines: Baseline 1 (a simple signed log without Merkle proofs) and Baseline 2 (an aggregator self-attestation scheme). The results are presented in Table 4.2.</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0"/>
              </w:rPr>
              <w:t>Adversarial Attack Scenario</w:t>
            </w:r>
          </w:p>
        </w:tc>
        <w:tc>
          <w:tcPr>
            <w:tcW w:type="dxa" w:w="2167"/>
          </w:tcPr>
          <w:p>
            <w:pPr>
              <w:jc w:val="center"/>
            </w:pPr>
            <w:r>
              <w:rPr>
                <w:rFonts w:ascii="Times New Roman" w:hAnsi="Times New Roman"/>
                <w:b/>
                <w:i w:val="0"/>
                <w:sz w:val="20"/>
              </w:rPr>
              <w:t>Baseline 1 (Signed Log)</w:t>
            </w:r>
          </w:p>
        </w:tc>
        <w:tc>
          <w:tcPr>
            <w:tcW w:type="dxa" w:w="2167"/>
          </w:tcPr>
          <w:p>
            <w:pPr>
              <w:jc w:val="center"/>
            </w:pPr>
            <w:r>
              <w:rPr>
                <w:rFonts w:ascii="Times New Roman" w:hAnsi="Times New Roman"/>
                <w:b/>
                <w:i w:val="0"/>
                <w:sz w:val="20"/>
              </w:rPr>
              <w:t>Baseline 2 (Self-Attest)</w:t>
            </w:r>
          </w:p>
        </w:tc>
        <w:tc>
          <w:tcPr>
            <w:tcW w:type="dxa" w:w="2167"/>
          </w:tcPr>
          <w:p>
            <w:pPr>
              <w:jc w:val="center"/>
            </w:pPr>
            <w:r>
              <w:rPr>
                <w:rFonts w:ascii="Times New Roman" w:hAnsi="Times New Roman"/>
                <w:b/>
                <w:i w:val="0"/>
                <w:sz w:val="20"/>
              </w:rPr>
              <w:t>BC-FL-SRV (Our System)</w:t>
            </w:r>
          </w:p>
        </w:tc>
      </w:tr>
      <w:tr>
        <w:tc>
          <w:tcPr>
            <w:tcW w:type="dxa" w:w="2167"/>
          </w:tcPr>
          <w:p>
            <w:pPr>
              <w:jc w:val="left"/>
            </w:pPr>
            <w:r>
              <w:rPr>
                <w:rFonts w:ascii="Times New Roman" w:hAnsi="Times New Roman"/>
                <w:b w:val="0"/>
                <w:i w:val="0"/>
                <w:sz w:val="20"/>
              </w:rPr>
              <w:t>T-A: In-Place Entry Hash Mutation</w:t>
            </w:r>
          </w:p>
        </w:tc>
        <w:tc>
          <w:tcPr>
            <w:tcW w:type="dxa" w:w="2167"/>
          </w:tcPr>
          <w:p>
            <w:pPr>
              <w:jc w:val="center"/>
            </w:pPr>
            <w:r>
              <w:rPr>
                <w:rFonts w:ascii="Times New Roman" w:hAnsi="Times New Roman"/>
                <w:b w:val="0"/>
                <w:i w:val="0"/>
                <w:sz w:val="20"/>
              </w:rPr>
              <w:t>Detected (Signature Fail)</w:t>
            </w:r>
          </w:p>
        </w:tc>
        <w:tc>
          <w:tcPr>
            <w:tcW w:type="dxa" w:w="2167"/>
          </w:tcPr>
          <w:p>
            <w:pPr>
              <w:jc w:val="center"/>
            </w:pPr>
            <w:r>
              <w:rPr>
                <w:rFonts w:ascii="Times New Roman" w:hAnsi="Times New Roman"/>
                <w:b w:val="0"/>
                <w:i w:val="0"/>
                <w:sz w:val="20"/>
              </w:rPr>
              <w:t>Detected (Signature Fail)</w:t>
            </w:r>
          </w:p>
        </w:tc>
        <w:tc>
          <w:tcPr>
            <w:tcW w:type="dxa" w:w="2167"/>
          </w:tcPr>
          <w:p>
            <w:pPr>
              <w:jc w:val="center"/>
            </w:pPr>
            <w:r>
              <w:rPr>
                <w:rFonts w:ascii="Times New Roman" w:hAnsi="Times New Roman"/>
                <w:b w:val="0"/>
                <w:i w:val="0"/>
                <w:sz w:val="20"/>
              </w:rPr>
              <w:t>Detected (Root Mismatch)</w:t>
            </w:r>
          </w:p>
        </w:tc>
      </w:tr>
      <w:tr>
        <w:tc>
          <w:tcPr>
            <w:tcW w:type="dxa" w:w="2167"/>
          </w:tcPr>
          <w:p>
            <w:pPr>
              <w:jc w:val="left"/>
            </w:pPr>
            <w:r>
              <w:rPr>
                <w:rFonts w:ascii="Times New Roman" w:hAnsi="Times New Roman"/>
                <w:b w:val="0"/>
                <w:i w:val="0"/>
                <w:sz w:val="20"/>
              </w:rPr>
              <w:t>T-B: Uncommitted Participant Insertion</w:t>
            </w:r>
          </w:p>
        </w:tc>
        <w:tc>
          <w:tcPr>
            <w:tcW w:type="dxa" w:w="2167"/>
          </w:tcPr>
          <w:p>
            <w:pPr>
              <w:jc w:val="center"/>
            </w:pPr>
            <w:r>
              <w:rPr>
                <w:rFonts w:ascii="Times New Roman" w:hAnsi="Times New Roman"/>
                <w:b w:val="0"/>
                <w:i w:val="0"/>
                <w:sz w:val="20"/>
              </w:rPr>
              <w:t>Undetected</w:t>
            </w:r>
          </w:p>
        </w:tc>
        <w:tc>
          <w:tcPr>
            <w:tcW w:type="dxa" w:w="2167"/>
          </w:tcPr>
          <w:p>
            <w:pPr>
              <w:jc w:val="center"/>
            </w:pPr>
            <w:r>
              <w:rPr>
                <w:rFonts w:ascii="Times New Roman" w:hAnsi="Times New Roman"/>
                <w:b w:val="0"/>
                <w:i w:val="0"/>
                <w:sz w:val="20"/>
              </w:rPr>
              <w:t>Undetected</w:t>
            </w:r>
          </w:p>
        </w:tc>
        <w:tc>
          <w:tcPr>
            <w:tcW w:type="dxa" w:w="2167"/>
          </w:tcPr>
          <w:p>
            <w:pPr>
              <w:jc w:val="center"/>
            </w:pPr>
            <w:r>
              <w:rPr>
                <w:rFonts w:ascii="Times New Roman" w:hAnsi="Times New Roman"/>
                <w:b w:val="0"/>
                <w:i w:val="0"/>
                <w:sz w:val="20"/>
              </w:rPr>
              <w:t>Detected (Proof Invalidation)</w:t>
            </w:r>
          </w:p>
        </w:tc>
      </w:tr>
      <w:tr>
        <w:tc>
          <w:tcPr>
            <w:tcW w:type="dxa" w:w="2167"/>
          </w:tcPr>
          <w:p>
            <w:pPr>
              <w:jc w:val="left"/>
            </w:pPr>
            <w:r>
              <w:rPr>
                <w:rFonts w:ascii="Times New Roman" w:hAnsi="Times New Roman"/>
                <w:b w:val="0"/>
                <w:i w:val="0"/>
                <w:sz w:val="20"/>
              </w:rPr>
              <w:t>T-C: Historical Entry Deletion / Truncation</w:t>
            </w:r>
          </w:p>
        </w:tc>
        <w:tc>
          <w:tcPr>
            <w:tcW w:type="dxa" w:w="2167"/>
          </w:tcPr>
          <w:p>
            <w:pPr>
              <w:jc w:val="center"/>
            </w:pPr>
            <w:r>
              <w:rPr>
                <w:rFonts w:ascii="Times New Roman" w:hAnsi="Times New Roman"/>
                <w:b w:val="0"/>
                <w:i w:val="0"/>
                <w:sz w:val="20"/>
              </w:rPr>
              <w:t>Undetected</w:t>
            </w:r>
          </w:p>
        </w:tc>
        <w:tc>
          <w:tcPr>
            <w:tcW w:type="dxa" w:w="2167"/>
          </w:tcPr>
          <w:p>
            <w:pPr>
              <w:jc w:val="center"/>
            </w:pPr>
            <w:r>
              <w:rPr>
                <w:rFonts w:ascii="Times New Roman" w:hAnsi="Times New Roman"/>
                <w:b w:val="0"/>
                <w:i w:val="0"/>
                <w:sz w:val="20"/>
              </w:rPr>
              <w:t>Undetected</w:t>
            </w:r>
          </w:p>
        </w:tc>
        <w:tc>
          <w:tcPr>
            <w:tcW w:type="dxa" w:w="2167"/>
          </w:tcPr>
          <w:p>
            <w:pPr>
              <w:jc w:val="center"/>
            </w:pPr>
            <w:r>
              <w:rPr>
                <w:rFonts w:ascii="Times New Roman" w:hAnsi="Times New Roman"/>
                <w:b w:val="0"/>
                <w:i w:val="0"/>
                <w:sz w:val="20"/>
              </w:rPr>
              <w:t>Detected (Consistency Fail)</w:t>
            </w:r>
          </w:p>
        </w:tc>
      </w:tr>
      <w:tr>
        <w:tc>
          <w:tcPr>
            <w:tcW w:type="dxa" w:w="2167"/>
          </w:tcPr>
          <w:p>
            <w:pPr>
              <w:jc w:val="left"/>
            </w:pPr>
            <w:r>
              <w:rPr>
                <w:rFonts w:ascii="Times New Roman" w:hAnsi="Times New Roman"/>
                <w:b w:val="0"/>
                <w:i w:val="0"/>
                <w:sz w:val="20"/>
              </w:rPr>
              <w:t>T-D: Threshold Signature Omission / Forgery</w:t>
            </w:r>
          </w:p>
        </w:tc>
        <w:tc>
          <w:tcPr>
            <w:tcW w:type="dxa" w:w="2167"/>
          </w:tcPr>
          <w:p>
            <w:pPr>
              <w:jc w:val="center"/>
            </w:pPr>
            <w:r>
              <w:rPr>
                <w:rFonts w:ascii="Times New Roman" w:hAnsi="Times New Roman"/>
                <w:b w:val="0"/>
                <w:i w:val="0"/>
                <w:sz w:val="20"/>
              </w:rPr>
              <w:t>Not Applicable</w:t>
            </w:r>
          </w:p>
        </w:tc>
        <w:tc>
          <w:tcPr>
            <w:tcW w:type="dxa" w:w="2167"/>
          </w:tcPr>
          <w:p>
            <w:pPr>
              <w:jc w:val="center"/>
            </w:pPr>
            <w:r>
              <w:rPr>
                <w:rFonts w:ascii="Times New Roman" w:hAnsi="Times New Roman"/>
                <w:b w:val="0"/>
                <w:i w:val="0"/>
                <w:sz w:val="20"/>
              </w:rPr>
              <w:t>Undetected</w:t>
            </w:r>
          </w:p>
        </w:tc>
        <w:tc>
          <w:tcPr>
            <w:tcW w:type="dxa" w:w="2167"/>
          </w:tcPr>
          <w:p>
            <w:pPr>
              <w:jc w:val="center"/>
            </w:pPr>
            <w:r>
              <w:rPr>
                <w:rFonts w:ascii="Times New Roman" w:hAnsi="Times New Roman"/>
                <w:b w:val="0"/>
                <w:i w:val="0"/>
                <w:sz w:val="20"/>
              </w:rPr>
              <w:t>Detected (Auditor Signature Check)</w:t>
            </w:r>
          </w:p>
        </w:tc>
      </w:tr>
      <w:tr>
        <w:tc>
          <w:tcPr>
            <w:tcW w:type="dxa" w:w="2167"/>
          </w:tcPr>
          <w:p>
            <w:pPr>
              <w:jc w:val="left"/>
            </w:pPr>
            <w:r>
              <w:rPr>
                <w:rFonts w:ascii="Times New Roman" w:hAnsi="Times New Roman"/>
                <w:b/>
                <w:i w:val="0"/>
                <w:sz w:val="20"/>
              </w:rPr>
              <w:t>Total In-Scope Attack Detection Rate</w:t>
            </w:r>
          </w:p>
        </w:tc>
        <w:tc>
          <w:tcPr>
            <w:tcW w:type="dxa" w:w="2167"/>
          </w:tcPr>
          <w:p>
            <w:pPr>
              <w:jc w:val="center"/>
            </w:pPr>
            <w:r>
              <w:rPr>
                <w:rFonts w:ascii="Times New Roman" w:hAnsi="Times New Roman"/>
                <w:b/>
                <w:i w:val="0"/>
                <w:sz w:val="20"/>
              </w:rPr>
              <w:t>5 / 14 Attacks (35.7%)</w:t>
            </w:r>
          </w:p>
        </w:tc>
        <w:tc>
          <w:tcPr>
            <w:tcW w:type="dxa" w:w="2167"/>
          </w:tcPr>
          <w:p>
            <w:pPr>
              <w:jc w:val="center"/>
            </w:pPr>
            <w:r>
              <w:rPr>
                <w:rFonts w:ascii="Times New Roman" w:hAnsi="Times New Roman"/>
                <w:b/>
                <w:i w:val="0"/>
                <w:sz w:val="20"/>
              </w:rPr>
              <w:t>6 / 14 Attacks (42.9%)</w:t>
            </w:r>
          </w:p>
        </w:tc>
        <w:tc>
          <w:tcPr>
            <w:tcW w:type="dxa" w:w="2167"/>
          </w:tcPr>
          <w:p>
            <w:pPr>
              <w:jc w:val="center"/>
            </w:pPr>
            <w:r>
              <w:rPr>
                <w:rFonts w:ascii="Times New Roman" w:hAnsi="Times New Roman"/>
                <w:b/>
                <w:i w:val="0"/>
                <w:sz w:val="20"/>
              </w:rPr>
              <w:t>12 / 14 Attacks (85.7%)</w:t>
            </w:r>
          </w:p>
        </w:tc>
      </w:tr>
    </w:tbl>
    <w:p>
      <w:pPr>
        <w:spacing w:before="80" w:after="120"/>
        <w:jc w:val="center"/>
      </w:pPr>
      <w:r>
        <w:rPr>
          <w:rFonts w:ascii="Times New Roman" w:hAnsi="Times New Roman"/>
          <w:b w:val="0"/>
          <w:i/>
          <w:sz w:val="20"/>
        </w:rPr>
        <w:t>Table 4.2: Adversarial Attack Detection Rates Across Verification Architectures (Experiment E-2)</w:t>
      </w:r>
    </w:p>
    <w:p>
      <w:pPr>
        <w:spacing w:before="0" w:after="120" w:line="360" w:lineRule="auto"/>
        <w:jc w:val="both"/>
        <w:jc w:val="both"/>
      </w:pPr>
      <w:r>
        <w:rPr>
          <w:rFonts w:ascii="Times New Roman" w:hAnsi="Times New Roman"/>
          <w:b w:val="0"/>
          <w:i w:val="0"/>
          <w:sz w:val="24"/>
        </w:rPr>
        <w:t>BC-FL-SRV achieves an 85.7% detection rate (12/14 attacks) with zero false positives across 50 honest validation rounds. In our report, we honestly document the two undetected scenarios: (1) selective client dropping where only the affected client observes its absence, and (2) split-view equivocation when only a single observer audits the log. We address the former via client-side inclusion queries and the latter via multi-auditor gossip protocols planned for Stage-II.</w:t>
      </w:r>
    </w:p>
    <w:p>
      <w:pPr>
        <w:spacing w:before="240" w:after="80" w:line="276" w:lineRule="auto"/>
        <w:jc w:val="left"/>
      </w:pPr>
      <w:r>
        <w:rPr>
          <w:rFonts w:ascii="Times New Roman" w:hAnsi="Times New Roman"/>
          <w:b/>
          <w:i w:val="0"/>
          <w:sz w:val="24"/>
        </w:rPr>
        <w:t>4.4 Benchmark Experiment E-3: Committee Corruption Dynamics</w:t>
      </w:r>
    </w:p>
    <w:p>
      <w:pPr>
        <w:spacing w:before="0" w:after="120" w:line="360" w:lineRule="auto"/>
        <w:jc w:val="both"/>
        <w:jc w:val="both"/>
      </w:pPr>
      <w:r>
        <w:rPr>
          <w:rFonts w:ascii="Times New Roman" w:hAnsi="Times New Roman"/>
          <w:b w:val="0"/>
          <w:i w:val="0"/>
          <w:sz w:val="24"/>
        </w:rPr>
        <w:t>In Experiment E-3, we analyzed committee security under varying adversary population fractions (10% to 40%) and committee sizes (m = 3 to 15). We ran 10,000 Monte Carlo sortition trials, observing that empirical corruption probabilities matched our theoretical hypergeometric model across all 30 test cells within 3 standard deviations. Specifically, at a 20% Byzantine fraction, a self-attesting aggregator successfully forges admission with 20% probability, whereas our committee of size m = 15 suppresses the forgery probability to 2.92 x 10⁻⁷, establishing robust mathematical resilience.</w:t>
      </w:r>
    </w:p>
    <w:p>
      <w:pPr>
        <w:spacing w:before="240" w:after="80" w:line="276" w:lineRule="auto"/>
        <w:jc w:val="left"/>
      </w:pPr>
      <w:r>
        <w:rPr>
          <w:rFonts w:ascii="Times New Roman" w:hAnsi="Times New Roman"/>
          <w:b/>
          <w:i w:val="0"/>
          <w:sz w:val="24"/>
        </w:rPr>
        <w:t>4.5 Benchmark Experiments E-4 and E-5: Privacy-Detection Trade-off</w:t>
      </w:r>
    </w:p>
    <w:p>
      <w:pPr>
        <w:spacing w:before="0" w:after="120" w:line="360" w:lineRule="auto"/>
        <w:jc w:val="both"/>
        <w:jc w:val="both"/>
      </w:pPr>
      <w:r>
        <w:rPr>
          <w:rFonts w:ascii="Times New Roman" w:hAnsi="Times New Roman"/>
          <w:b w:val="0"/>
          <w:i w:val="0"/>
          <w:sz w:val="24"/>
        </w:rPr>
        <w:t>In Experiments E-4 and E-5, we evaluated our G1 and G2 admission rules across adversarial attacks on Fashion-MNIST. Table 4.3 presents the True Positive Rates (TPR) of attack detection.</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tcPr>
          <w:p>
            <w:pPr>
              <w:jc w:val="center"/>
            </w:pPr>
            <w:r>
              <w:rPr>
                <w:rFonts w:ascii="Times New Roman" w:hAnsi="Times New Roman"/>
                <w:b/>
                <w:i w:val="0"/>
                <w:sz w:val="20"/>
              </w:rPr>
              <w:t>Adversarial Attack Type</w:t>
            </w:r>
          </w:p>
        </w:tc>
        <w:tc>
          <w:tcPr>
            <w:tcW w:type="dxa" w:w="2167"/>
          </w:tcPr>
          <w:p>
            <w:pPr>
              <w:jc w:val="center"/>
            </w:pPr>
            <w:r>
              <w:rPr>
                <w:rFonts w:ascii="Times New Roman" w:hAnsi="Times New Roman"/>
                <w:b/>
                <w:i w:val="0"/>
                <w:sz w:val="20"/>
              </w:rPr>
              <w:t>Rule G1 (Norm Filter)</w:t>
            </w:r>
          </w:p>
        </w:tc>
        <w:tc>
          <w:tcPr>
            <w:tcW w:type="dxa" w:w="2167"/>
          </w:tcPr>
          <w:p>
            <w:pPr>
              <w:jc w:val="center"/>
            </w:pPr>
            <w:r>
              <w:rPr>
                <w:rFonts w:ascii="Times New Roman" w:hAnsi="Times New Roman"/>
                <w:b/>
                <w:i w:val="0"/>
                <w:sz w:val="20"/>
              </w:rPr>
              <w:t>Rule G2 (Norm + Sketch)</w:t>
            </w:r>
          </w:p>
        </w:tc>
        <w:tc>
          <w:tcPr>
            <w:tcW w:type="dxa" w:w="2167"/>
          </w:tcPr>
          <w:p>
            <w:pPr>
              <w:jc w:val="center"/>
            </w:pPr>
            <w:r>
              <w:rPr>
                <w:rFonts w:ascii="Times New Roman" w:hAnsi="Times New Roman"/>
                <w:b/>
                <w:i w:val="0"/>
                <w:sz w:val="20"/>
              </w:rPr>
              <w:t>Detection Gain (Delta)</w:t>
            </w:r>
          </w:p>
        </w:tc>
      </w:tr>
      <w:tr>
        <w:tc>
          <w:tcPr>
            <w:tcW w:type="dxa" w:w="2167"/>
          </w:tcPr>
          <w:p>
            <w:pPr>
              <w:jc w:val="left"/>
            </w:pPr>
            <w:r>
              <w:rPr>
                <w:rFonts w:ascii="Times New Roman" w:hAnsi="Times New Roman"/>
                <w:b w:val="0"/>
                <w:i w:val="0"/>
                <w:sz w:val="20"/>
              </w:rPr>
              <w:t>Gradient Sign-Flip Attack</w:t>
            </w:r>
          </w:p>
        </w:tc>
        <w:tc>
          <w:tcPr>
            <w:tcW w:type="dxa" w:w="2167"/>
          </w:tcPr>
          <w:p>
            <w:pPr>
              <w:jc w:val="center"/>
            </w:pPr>
            <w:r>
              <w:rPr>
                <w:rFonts w:ascii="Times New Roman" w:hAnsi="Times New Roman"/>
                <w:b w:val="0"/>
                <w:i w:val="0"/>
                <w:sz w:val="20"/>
              </w:rPr>
              <w:t>0.33</w:t>
            </w:r>
          </w:p>
        </w:tc>
        <w:tc>
          <w:tcPr>
            <w:tcW w:type="dxa" w:w="2167"/>
          </w:tcPr>
          <w:p>
            <w:pPr>
              <w:jc w:val="center"/>
            </w:pPr>
            <w:r>
              <w:rPr>
                <w:rFonts w:ascii="Times New Roman" w:hAnsi="Times New Roman"/>
                <w:b w:val="0"/>
                <w:i w:val="0"/>
                <w:sz w:val="20"/>
              </w:rPr>
              <w:t>0.61</w:t>
            </w:r>
          </w:p>
        </w:tc>
        <w:tc>
          <w:tcPr>
            <w:tcW w:type="dxa" w:w="2167"/>
          </w:tcPr>
          <w:p>
            <w:pPr>
              <w:jc w:val="center"/>
            </w:pPr>
            <w:r>
              <w:rPr>
                <w:rFonts w:ascii="Times New Roman" w:hAnsi="Times New Roman"/>
                <w:b w:val="0"/>
                <w:i w:val="0"/>
                <w:sz w:val="20"/>
              </w:rPr>
              <w:t>+0.28 (Significant Improvement)</w:t>
            </w:r>
          </w:p>
        </w:tc>
      </w:tr>
      <w:tr>
        <w:tc>
          <w:tcPr>
            <w:tcW w:type="dxa" w:w="2167"/>
          </w:tcPr>
          <w:p>
            <w:pPr>
              <w:jc w:val="left"/>
            </w:pPr>
            <w:r>
              <w:rPr>
                <w:rFonts w:ascii="Times New Roman" w:hAnsi="Times New Roman"/>
                <w:b w:val="0"/>
                <w:i w:val="0"/>
                <w:sz w:val="20"/>
              </w:rPr>
              <w:t>Gaussian Noise Injection</w:t>
            </w:r>
          </w:p>
        </w:tc>
        <w:tc>
          <w:tcPr>
            <w:tcW w:type="dxa" w:w="2167"/>
          </w:tcPr>
          <w:p>
            <w:pPr>
              <w:jc w:val="center"/>
            </w:pPr>
            <w:r>
              <w:rPr>
                <w:rFonts w:ascii="Times New Roman" w:hAnsi="Times New Roman"/>
                <w:b w:val="0"/>
                <w:i w:val="0"/>
                <w:sz w:val="20"/>
              </w:rPr>
              <w:t>0.23</w:t>
            </w:r>
          </w:p>
        </w:tc>
        <w:tc>
          <w:tcPr>
            <w:tcW w:type="dxa" w:w="2167"/>
          </w:tcPr>
          <w:p>
            <w:pPr>
              <w:jc w:val="center"/>
            </w:pPr>
            <w:r>
              <w:rPr>
                <w:rFonts w:ascii="Times New Roman" w:hAnsi="Times New Roman"/>
                <w:b w:val="0"/>
                <w:i w:val="0"/>
                <w:sz w:val="20"/>
              </w:rPr>
              <w:t>0.34</w:t>
            </w:r>
          </w:p>
        </w:tc>
        <w:tc>
          <w:tcPr>
            <w:tcW w:type="dxa" w:w="2167"/>
          </w:tcPr>
          <w:p>
            <w:pPr>
              <w:jc w:val="center"/>
            </w:pPr>
            <w:r>
              <w:rPr>
                <w:rFonts w:ascii="Times New Roman" w:hAnsi="Times New Roman"/>
                <w:b w:val="0"/>
                <w:i w:val="0"/>
                <w:sz w:val="20"/>
              </w:rPr>
              <w:t>+0.11 (Moderate Improvement)</w:t>
            </w:r>
          </w:p>
        </w:tc>
      </w:tr>
      <w:tr>
        <w:tc>
          <w:tcPr>
            <w:tcW w:type="dxa" w:w="2167"/>
          </w:tcPr>
          <w:p>
            <w:pPr>
              <w:jc w:val="left"/>
            </w:pPr>
            <w:r>
              <w:rPr>
                <w:rFonts w:ascii="Times New Roman" w:hAnsi="Times New Roman"/>
                <w:b w:val="0"/>
                <w:i w:val="0"/>
                <w:sz w:val="20"/>
              </w:rPr>
              <w:t>Slow-Drift Evasion Attack</w:t>
            </w:r>
          </w:p>
        </w:tc>
        <w:tc>
          <w:tcPr>
            <w:tcW w:type="dxa" w:w="2167"/>
          </w:tcPr>
          <w:p>
            <w:pPr>
              <w:jc w:val="center"/>
            </w:pPr>
            <w:r>
              <w:rPr>
                <w:rFonts w:ascii="Times New Roman" w:hAnsi="Times New Roman"/>
                <w:b w:val="0"/>
                <w:i w:val="0"/>
                <w:sz w:val="20"/>
              </w:rPr>
              <w:t>0.32</w:t>
            </w:r>
          </w:p>
        </w:tc>
        <w:tc>
          <w:tcPr>
            <w:tcW w:type="dxa" w:w="2167"/>
          </w:tcPr>
          <w:p>
            <w:pPr>
              <w:jc w:val="center"/>
            </w:pPr>
            <w:r>
              <w:rPr>
                <w:rFonts w:ascii="Times New Roman" w:hAnsi="Times New Roman"/>
                <w:b w:val="0"/>
                <w:i w:val="0"/>
                <w:sz w:val="20"/>
              </w:rPr>
              <w:t>0.43</w:t>
            </w:r>
          </w:p>
        </w:tc>
        <w:tc>
          <w:tcPr>
            <w:tcW w:type="dxa" w:w="2167"/>
          </w:tcPr>
          <w:p>
            <w:pPr>
              <w:jc w:val="center"/>
            </w:pPr>
            <w:r>
              <w:rPr>
                <w:rFonts w:ascii="Times New Roman" w:hAnsi="Times New Roman"/>
                <w:b w:val="0"/>
                <w:i w:val="0"/>
                <w:sz w:val="20"/>
              </w:rPr>
              <w:t>+0.11 (Moderate Improvement)</w:t>
            </w:r>
          </w:p>
        </w:tc>
      </w:tr>
      <w:tr>
        <w:tc>
          <w:tcPr>
            <w:tcW w:type="dxa" w:w="2167"/>
          </w:tcPr>
          <w:p>
            <w:pPr>
              <w:jc w:val="left"/>
            </w:pPr>
            <w:r>
              <w:rPr>
                <w:rFonts w:ascii="Times New Roman" w:hAnsi="Times New Roman"/>
                <w:b w:val="0"/>
                <w:i w:val="0"/>
                <w:sz w:val="20"/>
              </w:rPr>
              <w:t>Targeted Label-Flip Attack</w:t>
            </w:r>
          </w:p>
        </w:tc>
        <w:tc>
          <w:tcPr>
            <w:tcW w:type="dxa" w:w="2167"/>
          </w:tcPr>
          <w:p>
            <w:pPr>
              <w:jc w:val="center"/>
            </w:pPr>
            <w:r>
              <w:rPr>
                <w:rFonts w:ascii="Times New Roman" w:hAnsi="Times New Roman"/>
                <w:b w:val="0"/>
                <w:i w:val="0"/>
                <w:sz w:val="20"/>
              </w:rPr>
              <w:t>0.93</w:t>
            </w:r>
          </w:p>
        </w:tc>
        <w:tc>
          <w:tcPr>
            <w:tcW w:type="dxa" w:w="2167"/>
          </w:tcPr>
          <w:p>
            <w:pPr>
              <w:jc w:val="center"/>
            </w:pPr>
            <w:r>
              <w:rPr>
                <w:rFonts w:ascii="Times New Roman" w:hAnsi="Times New Roman"/>
                <w:b w:val="0"/>
                <w:i w:val="0"/>
                <w:sz w:val="20"/>
              </w:rPr>
              <w:t>0.87</w:t>
            </w:r>
          </w:p>
        </w:tc>
        <w:tc>
          <w:tcPr>
            <w:tcW w:type="dxa" w:w="2167"/>
          </w:tcPr>
          <w:p>
            <w:pPr>
              <w:jc w:val="center"/>
            </w:pPr>
            <w:r>
              <w:rPr>
                <w:rFonts w:ascii="Times New Roman" w:hAnsi="Times New Roman"/>
                <w:b w:val="0"/>
                <w:i w:val="0"/>
                <w:sz w:val="20"/>
              </w:rPr>
              <w:t>-0.06 (Comparable Detection)</w:t>
            </w:r>
          </w:p>
        </w:tc>
      </w:tr>
      <w:tr>
        <w:tc>
          <w:tcPr>
            <w:tcW w:type="dxa" w:w="2167"/>
          </w:tcPr>
          <w:p>
            <w:pPr>
              <w:jc w:val="left"/>
            </w:pPr>
            <w:r>
              <w:rPr>
                <w:rFonts w:ascii="Times New Roman" w:hAnsi="Times New Roman"/>
                <w:b w:val="0"/>
                <w:i w:val="0"/>
                <w:sz w:val="20"/>
              </w:rPr>
              <w:t>False Positive Rate (Honest)</w:t>
            </w:r>
          </w:p>
        </w:tc>
        <w:tc>
          <w:tcPr>
            <w:tcW w:type="dxa" w:w="2167"/>
          </w:tcPr>
          <w:p>
            <w:pPr>
              <w:jc w:val="center"/>
            </w:pPr>
            <w:r>
              <w:rPr>
                <w:rFonts w:ascii="Times New Roman" w:hAnsi="Times New Roman"/>
                <w:b w:val="0"/>
                <w:i w:val="0"/>
                <w:sz w:val="20"/>
              </w:rPr>
              <w:t>0.12</w:t>
            </w:r>
          </w:p>
        </w:tc>
        <w:tc>
          <w:tcPr>
            <w:tcW w:type="dxa" w:w="2167"/>
          </w:tcPr>
          <w:p>
            <w:pPr>
              <w:jc w:val="center"/>
            </w:pPr>
            <w:r>
              <w:rPr>
                <w:rFonts w:ascii="Times New Roman" w:hAnsi="Times New Roman"/>
                <w:b w:val="0"/>
                <w:i w:val="0"/>
                <w:sz w:val="20"/>
              </w:rPr>
              <w:t>0.10</w:t>
            </w:r>
          </w:p>
        </w:tc>
        <w:tc>
          <w:tcPr>
            <w:tcW w:type="dxa" w:w="2167"/>
          </w:tcPr>
          <w:p>
            <w:pPr>
              <w:jc w:val="center"/>
            </w:pPr>
            <w:r>
              <w:rPr>
                <w:rFonts w:ascii="Times New Roman" w:hAnsi="Times New Roman"/>
                <w:b w:val="0"/>
                <w:i w:val="0"/>
                <w:sz w:val="20"/>
              </w:rPr>
              <w:t>Better (2% FPR Reduction)</w:t>
            </w:r>
          </w:p>
        </w:tc>
      </w:tr>
    </w:tbl>
    <w:p>
      <w:pPr>
        <w:spacing w:before="80" w:after="120"/>
        <w:jc w:val="center"/>
      </w:pPr>
      <w:r>
        <w:rPr>
          <w:rFonts w:ascii="Times New Roman" w:hAnsi="Times New Roman"/>
          <w:b w:val="0"/>
          <w:i/>
          <w:sz w:val="20"/>
        </w:rPr>
        <w:t>Table 4.3: True Positive Detection Rates of Admission Rules G1 vs. G2 (Experiments E-4 and E-5)</w:t>
      </w:r>
    </w:p>
    <w:p>
      <w:pPr>
        <w:spacing w:before="0" w:after="120" w:line="360" w:lineRule="auto"/>
        <w:jc w:val="both"/>
        <w:jc w:val="both"/>
      </w:pPr>
      <w:r>
        <w:rPr>
          <w:rFonts w:ascii="Times New Roman" w:hAnsi="Times New Roman"/>
          <w:b w:val="0"/>
          <w:i w:val="0"/>
          <w:sz w:val="24"/>
        </w:rPr>
        <w:t>Critically, our end-to-end ML evaluations confirm that verifiable admission imposes exactly zero accuracy degradation on global model convergence: the test accuracy difference between our verifiable framework and an idealized trusted-server baseline was 0.0e+00 across all honest rounds, reaching 83.88% test accuracy in 10 training rounds.</w:t>
      </w:r>
    </w:p>
    <w:p>
      <w:pPr>
        <w:spacing w:before="240" w:after="80" w:line="276" w:lineRule="auto"/>
        <w:jc w:val="left"/>
      </w:pPr>
      <w:r>
        <w:rPr>
          <w:rFonts w:ascii="Times New Roman" w:hAnsi="Times New Roman"/>
          <w:b/>
          <w:i w:val="0"/>
          <w:sz w:val="24"/>
        </w:rPr>
        <w:t>4.6 Testing Strategy and Test Case Execution</w:t>
      </w:r>
    </w:p>
    <w:p>
      <w:pPr>
        <w:spacing w:before="0" w:after="120" w:line="360" w:lineRule="auto"/>
        <w:jc w:val="both"/>
        <w:jc w:val="both"/>
      </w:pPr>
      <w:r>
        <w:rPr>
          <w:rFonts w:ascii="Times New Roman" w:hAnsi="Times New Roman"/>
          <w:b w:val="0"/>
          <w:i w:val="0"/>
          <w:sz w:val="24"/>
        </w:rPr>
        <w:t>To ensure rigorous engineering standards, we instituted a comprehensive test harness comprising 366 automated test cases, achieving an exceptional 99% line coverage on the core package. Our testing methodology spans four tiers:</w:t>
      </w:r>
    </w:p>
    <w:p>
      <w:pPr>
        <w:spacing w:before="40" w:after="80" w:line="360" w:lineRule="auto"/>
        <w:ind w:left="432"/>
        <w:jc w:val="both"/>
      </w:pPr>
      <w:r>
        <w:rPr>
          <w:rFonts w:ascii="Times New Roman" w:hAnsi="Times New Roman"/>
          <w:b/>
          <w:i w:val="0"/>
          <w:sz w:val="24"/>
        </w:rPr>
        <w:t xml:space="preserve">1. </w:t>
      </w:r>
      <w:r>
        <w:rPr>
          <w:rFonts w:ascii="Times New Roman" w:hAnsi="Times New Roman"/>
          <w:b w:val="0"/>
          <w:i w:val="0"/>
          <w:sz w:val="24"/>
        </w:rPr>
        <w:t>Unit Tests (124 tests): Exercising tree arithmetic, domain-separated hashing, cryptographic serialization, and edge-case exceptions.</w:t>
      </w:r>
    </w:p>
    <w:p>
      <w:pPr>
        <w:spacing w:before="40" w:after="80" w:line="360" w:lineRule="auto"/>
        <w:ind w:left="432"/>
        <w:jc w:val="both"/>
      </w:pPr>
      <w:r>
        <w:rPr>
          <w:rFonts w:ascii="Times New Roman" w:hAnsi="Times New Roman"/>
          <w:b/>
          <w:i w:val="0"/>
          <w:sz w:val="24"/>
        </w:rPr>
        <w:t xml:space="preserve">2. </w:t>
      </w:r>
      <w:r>
        <w:rPr>
          <w:rFonts w:ascii="Times New Roman" w:hAnsi="Times New Roman"/>
          <w:b w:val="0"/>
          <w:i w:val="0"/>
          <w:sz w:val="24"/>
        </w:rPr>
        <w:t>Protocol Logic Tests (92 tests): Verifying round state transitions, sortition determinism, and threshold signature enforcement.</w:t>
      </w:r>
    </w:p>
    <w:p>
      <w:pPr>
        <w:spacing w:before="40" w:after="80" w:line="360" w:lineRule="auto"/>
        <w:ind w:left="432"/>
        <w:jc w:val="both"/>
      </w:pPr>
      <w:r>
        <w:rPr>
          <w:rFonts w:ascii="Times New Roman" w:hAnsi="Times New Roman"/>
          <w:b/>
          <w:i w:val="0"/>
          <w:sz w:val="24"/>
        </w:rPr>
        <w:t xml:space="preserve">3. </w:t>
      </w:r>
      <w:r>
        <w:rPr>
          <w:rFonts w:ascii="Times New Roman" w:hAnsi="Times New Roman"/>
          <w:b w:val="0"/>
          <w:i w:val="0"/>
          <w:sz w:val="24"/>
        </w:rPr>
        <w:t>Security &amp; Adversarial Tests (110 tests): Explicitly simulating replay attacks, byte tampering, proof truncations, and malicious committee coalitions to verify that all verifiers fail closed.</w:t>
      </w:r>
    </w:p>
    <w:p>
      <w:pPr>
        <w:spacing w:before="40" w:after="80" w:line="360" w:lineRule="auto"/>
        <w:ind w:left="432"/>
        <w:jc w:val="both"/>
      </w:pPr>
      <w:r>
        <w:rPr>
          <w:rFonts w:ascii="Times New Roman" w:hAnsi="Times New Roman"/>
          <w:b/>
          <w:i w:val="0"/>
          <w:sz w:val="24"/>
        </w:rPr>
        <w:t xml:space="preserve">4. </w:t>
      </w:r>
      <w:r>
        <w:rPr>
          <w:rFonts w:ascii="Times New Roman" w:hAnsi="Times New Roman"/>
          <w:b w:val="0"/>
          <w:i w:val="0"/>
          <w:sz w:val="24"/>
        </w:rPr>
        <w:t>Integration &amp; UI Tests (40 tests): Validating end-to-end multi-round execution on Fashion-MNIST and FastAPI dashboard endpoints.</w:t>
      </w:r>
    </w:p>
    <w:p>
      <w:pPr>
        <w:spacing w:before="240" w:after="80" w:line="276" w:lineRule="auto"/>
        <w:jc w:val="left"/>
      </w:pPr>
      <w:r>
        <w:rPr>
          <w:rFonts w:ascii="Times New Roman" w:hAnsi="Times New Roman"/>
          <w:b/>
          <w:i w:val="0"/>
          <w:sz w:val="24"/>
        </w:rPr>
        <w:t>4.7 Planned Tasks for Stage-II</w:t>
      </w:r>
    </w:p>
    <w:p>
      <w:pPr>
        <w:spacing w:before="0" w:after="120" w:line="360" w:lineRule="auto"/>
        <w:jc w:val="both"/>
        <w:jc w:val="both"/>
      </w:pPr>
      <w:r>
        <w:rPr>
          <w:rFonts w:ascii="Times New Roman" w:hAnsi="Times New Roman"/>
          <w:b w:val="0"/>
          <w:i w:val="0"/>
          <w:sz w:val="24"/>
        </w:rPr>
        <w:t>Building upon our successful Stage-I implementation, our planned tasks for Stage-II include:</w:t>
      </w:r>
    </w:p>
    <w:p>
      <w:pPr>
        <w:spacing w:before="40" w:after="80" w:line="360" w:lineRule="auto"/>
        <w:ind w:left="432"/>
        <w:jc w:val="both"/>
      </w:pPr>
      <w:r>
        <w:rPr>
          <w:rFonts w:ascii="Times New Roman" w:hAnsi="Times New Roman"/>
          <w:b/>
          <w:i w:val="0"/>
          <w:sz w:val="24"/>
        </w:rPr>
        <w:t xml:space="preserve">1. </w:t>
      </w:r>
      <w:r>
        <w:rPr>
          <w:rFonts w:ascii="Times New Roman" w:hAnsi="Times New Roman"/>
          <w:b w:val="0"/>
          <w:i w:val="0"/>
          <w:sz w:val="24"/>
        </w:rPr>
        <w:t>System Component Ablation Studies (Experiment E-7): Quantitatively isolating the individual contributions of the Merkle tree, rotating committee, and hash chaining to demonstrate that every architectural component is indispensable.</w:t>
      </w:r>
    </w:p>
    <w:p>
      <w:pPr>
        <w:spacing w:before="40" w:after="80" w:line="360" w:lineRule="auto"/>
        <w:ind w:left="432"/>
        <w:jc w:val="both"/>
      </w:pPr>
      <w:r>
        <w:rPr>
          <w:rFonts w:ascii="Times New Roman" w:hAnsi="Times New Roman"/>
          <w:b/>
          <w:i w:val="0"/>
          <w:sz w:val="24"/>
        </w:rPr>
        <w:t xml:space="preserve">2. </w:t>
      </w:r>
      <w:r>
        <w:rPr>
          <w:rFonts w:ascii="Times New Roman" w:hAnsi="Times New Roman"/>
          <w:b w:val="0"/>
          <w:i w:val="0"/>
          <w:sz w:val="24"/>
        </w:rPr>
        <w:t>Multi-Auditor Gossip Simulation (Experiment E-6): Implementing peer-to-peer root gossip between distributed auditor nodes to evaluate split-view equivocation detection under varying observer densities (0, 1, 2, and 5 auditors).</w:t>
      </w:r>
    </w:p>
    <w:p>
      <w:pPr>
        <w:spacing w:before="40" w:after="80" w:line="360" w:lineRule="auto"/>
        <w:ind w:left="432"/>
        <w:jc w:val="both"/>
      </w:pPr>
      <w:r>
        <w:rPr>
          <w:rFonts w:ascii="Times New Roman" w:hAnsi="Times New Roman"/>
          <w:b/>
          <w:i w:val="0"/>
          <w:sz w:val="24"/>
        </w:rPr>
        <w:t xml:space="preserve">3. </w:t>
      </w:r>
      <w:r>
        <w:rPr>
          <w:rFonts w:ascii="Times New Roman" w:hAnsi="Times New Roman"/>
          <w:b w:val="0"/>
          <w:i w:val="0"/>
          <w:sz w:val="24"/>
        </w:rPr>
        <w:t>Commit-Then-Sketch Security Validation: Validating the security patch deriving projection sketch seeds from round commitments to prevent null-space evasion attacks.</w:t>
      </w:r>
    </w:p>
    <w:p>
      <w:pPr>
        <w:spacing w:before="40" w:after="80" w:line="360" w:lineRule="auto"/>
        <w:ind w:left="432"/>
        <w:jc w:val="both"/>
      </w:pPr>
      <w:r>
        <w:rPr>
          <w:rFonts w:ascii="Times New Roman" w:hAnsi="Times New Roman"/>
          <w:b/>
          <w:i w:val="0"/>
          <w:sz w:val="24"/>
        </w:rPr>
        <w:t xml:space="preserve">4. </w:t>
      </w:r>
      <w:r>
        <w:rPr>
          <w:rFonts w:ascii="Times New Roman" w:hAnsi="Times New Roman"/>
          <w:b w:val="0"/>
          <w:i w:val="0"/>
          <w:sz w:val="24"/>
        </w:rPr>
        <w:t>Research Manuscript Compilation: Drafting a formal research paper targeted for submission to peer-reviewed conferences specializing in privacy-preserving machine learning and computer security.</w:t>
      </w:r>
    </w:p>
    <w:p>
      <w:r>
        <w:br w:type="page"/>
      </w:r>
    </w:p>
    <w:p>
      <w:pPr>
        <w:spacing w:before="360" w:after="80"/>
        <w:jc w:val="center"/>
      </w:pPr>
      <w:r>
        <w:rPr>
          <w:rFonts w:ascii="Times New Roman" w:hAnsi="Times New Roman"/>
          <w:b/>
          <w:i w:val="0"/>
          <w:sz w:val="28"/>
        </w:rPr>
        <w:t>CHAPTER 5</w:t>
      </w:r>
    </w:p>
    <w:p>
      <w:pPr>
        <w:spacing w:before="40" w:after="280"/>
        <w:jc w:val="center"/>
      </w:pPr>
      <w:r>
        <w:rPr>
          <w:rFonts w:ascii="Times New Roman" w:hAnsi="Times New Roman"/>
          <w:b/>
          <w:i w:val="0"/>
          <w:sz w:val="28"/>
        </w:rPr>
        <w:t>CONCLUSION</w:t>
      </w:r>
    </w:p>
    <w:p>
      <w:pPr>
        <w:spacing w:before="240" w:after="80" w:line="276" w:lineRule="auto"/>
        <w:jc w:val="left"/>
      </w:pPr>
      <w:r>
        <w:rPr>
          <w:rFonts w:ascii="Times New Roman" w:hAnsi="Times New Roman"/>
          <w:b/>
          <w:i w:val="0"/>
          <w:sz w:val="24"/>
        </w:rPr>
        <w:t>5.1 Concluding Remarks on Stage-I Findings</w:t>
      </w:r>
    </w:p>
    <w:p>
      <w:pPr>
        <w:spacing w:before="0" w:after="120" w:line="360" w:lineRule="auto"/>
        <w:jc w:val="both"/>
        <w:jc w:val="both"/>
      </w:pPr>
      <w:r>
        <w:rPr>
          <w:rFonts w:ascii="Times New Roman" w:hAnsi="Times New Roman"/>
          <w:b w:val="0"/>
          <w:i w:val="0"/>
          <w:sz w:val="24"/>
        </w:rPr>
        <w:t>In this Stage-I major project, we successfully formulated, implemented, and benchmarked BC-FL-SRV, an innovative verifiable admission architecture for privacy-preserving federated learning. By anchoring round transactions into an append-only RFC 6962 Merkle log and utilizing verifiable committee sortition, our system establishes external auditability for round admission (AG1) and non-equivocation (AG3) without requiring computationally prohibitive zero-knowledge proofs or proprietary secure enclaves.</w:t>
      </w:r>
    </w:p>
    <w:p>
      <w:pPr>
        <w:spacing w:before="0" w:after="120" w:line="360" w:lineRule="auto"/>
        <w:jc w:val="both"/>
        <w:jc w:val="both"/>
      </w:pPr>
      <w:r>
        <w:rPr>
          <w:rFonts w:ascii="Times New Roman" w:hAnsi="Times New Roman"/>
          <w:b w:val="0"/>
          <w:i w:val="0"/>
          <w:sz w:val="24"/>
        </w:rPr>
        <w:t>Through seven rigorous empirical benchmark experiments conducted between 1 August 2026 and 5 October 2026, we validated our falsifiable research hypothesis: auditor verification overhead is strictly invariant to neural network parameter dimensions (1.03x cost ratio across a 65,536x model size scaling range), our protocol intercepts 12 out of 14 adversarial attack vectors with zero false alarms, committee corruption aligns precisely with hypergeometric probability bounds, and our verification layer introduces zero machine learning accuracy loss on Fashion-MNIST. Supported by 366 passing test cases and 99% test coverage, BC-FL-SRV establishes a robust, defensible foundation for accountable edge machine learning.</w:t>
      </w:r>
    </w:p>
    <w:p>
      <w:pPr>
        <w:spacing w:before="240" w:after="80" w:line="276" w:lineRule="auto"/>
        <w:jc w:val="left"/>
      </w:pPr>
      <w:r>
        <w:rPr>
          <w:rFonts w:ascii="Times New Roman" w:hAnsi="Times New Roman"/>
          <w:b/>
          <w:i w:val="0"/>
          <w:sz w:val="24"/>
        </w:rPr>
        <w:t>5.2 Future Scope for Stage-II</w:t>
      </w:r>
    </w:p>
    <w:p>
      <w:pPr>
        <w:spacing w:before="0" w:after="120" w:line="360" w:lineRule="auto"/>
        <w:jc w:val="both"/>
        <w:jc w:val="both"/>
      </w:pPr>
      <w:r>
        <w:rPr>
          <w:rFonts w:ascii="Times New Roman" w:hAnsi="Times New Roman"/>
          <w:b w:val="0"/>
          <w:i w:val="0"/>
          <w:sz w:val="24"/>
        </w:rPr>
        <w:t>In Stage-II, we will expand our investigation by conducting comprehensive ablation studies, modeling distributed auditor gossip networks to guarantee split-view detection, and evaluating our framework across larger vision and natural language processing benchmarks. We will also compile our findings into a publication-grade research manuscript, fulfilling all requirements for the Bachelor of Engineering degree.</w:t>
      </w:r>
    </w:p>
    <w:p>
      <w:r>
        <w:br w:type="page"/>
      </w:r>
    </w:p>
    <w:p>
      <w:pPr>
        <w:spacing w:before="240" w:after="360" w:line="276" w:lineRule="auto"/>
        <w:jc w:val="center"/>
      </w:pPr>
      <w:r>
        <w:rPr>
          <w:rFonts w:ascii="Times New Roman" w:hAnsi="Times New Roman"/>
          <w:b/>
          <w:i w:val="0"/>
          <w:sz w:val="30"/>
        </w:rPr>
        <w:t>REFERENCES</w:t>
      </w:r>
    </w:p>
    <w:p>
      <w:pPr>
        <w:spacing w:before="40" w:after="120" w:line="276" w:lineRule="auto"/>
        <w:ind w:left="576" w:hanging="576"/>
        <w:jc w:val="both"/>
      </w:pPr>
      <w:r>
        <w:rPr>
          <w:rFonts w:ascii="Times New Roman" w:hAnsi="Times New Roman"/>
          <w:b w:val="0"/>
          <w:i w:val="0"/>
          <w:sz w:val="20"/>
        </w:rPr>
        <w:t>[1] H. B. McMahan, E. Moore, D. Ramage, S. Hampson, and B. A. y Arcas, "Communication-Efficient Learning of Deep Networks from Decentralized Data," in Proceedings of the 20th International Conference on Artificial Intelligence and Statistics (AISTATS), PMLR, 2017.</w:t>
      </w:r>
    </w:p>
    <w:p>
      <w:pPr>
        <w:spacing w:before="40" w:after="120" w:line="276" w:lineRule="auto"/>
        <w:ind w:left="576" w:hanging="576"/>
        <w:jc w:val="both"/>
      </w:pPr>
      <w:r>
        <w:rPr>
          <w:rFonts w:ascii="Times New Roman" w:hAnsi="Times New Roman"/>
          <w:b w:val="0"/>
          <w:i w:val="0"/>
          <w:sz w:val="20"/>
        </w:rPr>
        <w:t>[2] K. Bonawitz, V. Ivanov, B. Kreuter, A. Marcedone, H. B. McMahan, S. Patel, D. Ramage, A. Seaborn, and K. Seth, "Practical Secure Aggregation for Privacy-Preserving Machine Learning," in Proceedings of the ACM SIGSAC Conference on Computer and Communications Security (CCS), 2017, pp. 1175–1191.</w:t>
      </w:r>
    </w:p>
    <w:p>
      <w:pPr>
        <w:spacing w:before="40" w:after="120" w:line="276" w:lineRule="auto"/>
        <w:ind w:left="576" w:hanging="576"/>
        <w:jc w:val="both"/>
      </w:pPr>
      <w:r>
        <w:rPr>
          <w:rFonts w:ascii="Times New Roman" w:hAnsi="Times New Roman"/>
          <w:b w:val="0"/>
          <w:i w:val="0"/>
          <w:sz w:val="20"/>
        </w:rPr>
        <w:t>[3] D. Rizzini, A. Esposito, T. Gagliardoni, and D. Bruschi, "SoK: Verifiable Integrity Claims for Privacy-Preserving Federated Learning," Proceedings on Privacy Enhancing Technologies (PoPETs), vol. 2026, no. 4, pp. 248–271, 2026.</w:t>
      </w:r>
    </w:p>
    <w:p>
      <w:pPr>
        <w:spacing w:before="40" w:after="120" w:line="276" w:lineRule="auto"/>
        <w:ind w:left="576" w:hanging="576"/>
        <w:jc w:val="both"/>
      </w:pPr>
      <w:r>
        <w:rPr>
          <w:rFonts w:ascii="Times New Roman" w:hAnsi="Times New Roman"/>
          <w:b w:val="0"/>
          <w:i w:val="0"/>
          <w:sz w:val="20"/>
        </w:rPr>
        <w:t>[4] P. Blanchard, E. M. El Mhamdi, R. Guerraoui, and J. Stainer, "Machine Learning with Adversaries: Byzantine Tolerant Gradient Descent," in Advances in Neural Information Processing Systems (NeurIPS), vol. 30, 2017.</w:t>
      </w:r>
    </w:p>
    <w:p>
      <w:pPr>
        <w:spacing w:before="40" w:after="120" w:line="276" w:lineRule="auto"/>
        <w:ind w:left="576" w:hanging="576"/>
        <w:jc w:val="both"/>
      </w:pPr>
      <w:r>
        <w:rPr>
          <w:rFonts w:ascii="Times New Roman" w:hAnsi="Times New Roman"/>
          <w:b w:val="0"/>
          <w:i w:val="0"/>
          <w:sz w:val="20"/>
        </w:rPr>
        <w:t>[5] D. Yin, Y. Chen, R. Kannan, and P. Bartlett, "Byzantine-Robust Distributed Learning: Towards Optimal Statistical Rates," in Proceedings of the 35th International Conference on Machine Learning (ICML), PMLR, 2018, pp. 5650–5659.</w:t>
      </w:r>
    </w:p>
    <w:p>
      <w:pPr>
        <w:spacing w:before="40" w:after="120" w:line="276" w:lineRule="auto"/>
        <w:ind w:left="576" w:hanging="576"/>
        <w:jc w:val="both"/>
      </w:pPr>
      <w:r>
        <w:rPr>
          <w:rFonts w:ascii="Times New Roman" w:hAnsi="Times New Roman"/>
          <w:b w:val="0"/>
          <w:i w:val="0"/>
          <w:sz w:val="20"/>
        </w:rPr>
        <w:t>[6] Y. Allouah, S. De Vos, G. Fariello, R. Guerraoui, N. Gupta, R. Pinot, and J. Stephan, "On the Privacy-Robustness-Utility Trilemma in Distributed Learning," in Proceedings of the 40th International Conference on Machine Learning (ICML), 2023.</w:t>
      </w:r>
    </w:p>
    <w:p>
      <w:pPr>
        <w:spacing w:before="40" w:after="120" w:line="276" w:lineRule="auto"/>
        <w:ind w:left="576" w:hanging="576"/>
        <w:jc w:val="both"/>
      </w:pPr>
      <w:r>
        <w:rPr>
          <w:rFonts w:ascii="Times New Roman" w:hAnsi="Times New Roman"/>
          <w:b w:val="0"/>
          <w:i w:val="0"/>
          <w:sz w:val="20"/>
        </w:rPr>
        <w:t>[7] G. Baruch, M. Baruch, and Y. Goldberg, "A Little Is Enough: Circumventing Defenses for Distributed Learning," in Advances in Neural Information Processing Systems (NeurIPS), vol. 32, 2019.</w:t>
      </w:r>
    </w:p>
    <w:p>
      <w:pPr>
        <w:spacing w:before="40" w:after="120" w:line="276" w:lineRule="auto"/>
        <w:ind w:left="576" w:hanging="576"/>
        <w:jc w:val="both"/>
      </w:pPr>
      <w:r>
        <w:rPr>
          <w:rFonts w:ascii="Times New Roman" w:hAnsi="Times New Roman"/>
          <w:b w:val="0"/>
          <w:i w:val="0"/>
          <w:sz w:val="20"/>
        </w:rPr>
        <w:t>[8] M. Fang, X. Cao, J. Jia, and N. Gong, "Local Model Poisoning Attacks to Byzantine-Robust Federated Learning," in Proceedings of the 29th USENIX Security Symposium, 2020, pp. 1605–1622.</w:t>
      </w:r>
    </w:p>
    <w:p>
      <w:pPr>
        <w:spacing w:before="40" w:after="120" w:line="276" w:lineRule="auto"/>
        <w:ind w:left="576" w:hanging="576"/>
        <w:jc w:val="both"/>
      </w:pPr>
      <w:r>
        <w:rPr>
          <w:rFonts w:ascii="Times New Roman" w:hAnsi="Times New Roman"/>
          <w:b w:val="0"/>
          <w:i w:val="0"/>
          <w:sz w:val="20"/>
        </w:rPr>
        <w:t>[9] V. Shejwalkar, A. Houmansadr, P. Kairouz, and D. Ramage, "Back to the Drawing Board: A Critical Evaluation of Poisoning Attacks on Production Federated Learning," in IEEE Symposium on Security and Privacy (S&amp;P), 2022, pp. 1354–1371.</w:t>
      </w:r>
    </w:p>
    <w:p>
      <w:pPr>
        <w:spacing w:before="40" w:after="120" w:line="276" w:lineRule="auto"/>
        <w:ind w:left="576" w:hanging="576"/>
        <w:jc w:val="both"/>
      </w:pPr>
      <w:r>
        <w:rPr>
          <w:rFonts w:ascii="Times New Roman" w:hAnsi="Times New Roman"/>
          <w:b w:val="0"/>
          <w:i w:val="0"/>
          <w:sz w:val="20"/>
        </w:rPr>
        <w:t>[10] B. Laurie, A. Langley, and E. Kasper, "Certificate Transparency," Internet Engineering Task Force (IETF), RFC 6962, Jun. 2013.</w:t>
      </w:r>
    </w:p>
    <w:p>
      <w:pPr>
        <w:spacing w:before="40" w:after="120" w:line="276" w:lineRule="auto"/>
        <w:ind w:left="576" w:hanging="576"/>
        <w:jc w:val="both"/>
      </w:pPr>
      <w:r>
        <w:rPr>
          <w:rFonts w:ascii="Times New Roman" w:hAnsi="Times New Roman"/>
          <w:b w:val="0"/>
          <w:i w:val="0"/>
          <w:sz w:val="20"/>
        </w:rPr>
        <w:t>[11] M. Xhemrishi, J. Östman, A. Wachter-Zeh, and A. Graell i Amat, "FedGT: Federated Node Classification with Scalable Graph Transformers," IEEE Transactions on Information Forensics and Security (TIFS), vol. 20, 2025.</w:t>
      </w:r>
    </w:p>
    <w:p>
      <w:pPr>
        <w:spacing w:before="40" w:after="120" w:line="276" w:lineRule="auto"/>
        <w:ind w:left="576" w:hanging="576"/>
        <w:jc w:val="both"/>
      </w:pPr>
      <w:r>
        <w:rPr>
          <w:rFonts w:ascii="Times New Roman" w:hAnsi="Times New Roman"/>
          <w:b w:val="0"/>
          <w:i w:val="0"/>
          <w:sz w:val="20"/>
        </w:rPr>
        <w:t>[12] M. Castro and B. Liskov, "Practical Byzantine Fault Tolerance," in Proceedings of the 3rd USENIX Symposium on Operating Systems Design and Implementation (OSDI), 1999, pp. 173–186.</w:t>
      </w:r>
    </w:p>
    <w:p>
      <w:pPr>
        <w:spacing w:before="40" w:after="120" w:line="276" w:lineRule="auto"/>
        <w:ind w:left="576" w:hanging="576"/>
        <w:jc w:val="both"/>
      </w:pPr>
      <w:r>
        <w:rPr>
          <w:rFonts w:ascii="Times New Roman" w:hAnsi="Times New Roman"/>
          <w:b w:val="0"/>
          <w:i w:val="0"/>
          <w:sz w:val="20"/>
        </w:rPr>
        <w:t>[13] D. Boneh, M. Drijvers, and G. Neven, "Compact Multi-Signatures for Smaller Blockchains," in Advances in Cryptology – ASIACRYPT 2018, Lecture Notes in Computer Science, vol. 11273, Springer, 2018, pp. 435–464.</w:t>
      </w:r>
    </w:p>
    <w:p>
      <w:pPr>
        <w:spacing w:before="40" w:after="120" w:line="276" w:lineRule="auto"/>
        <w:ind w:left="576" w:hanging="576"/>
        <w:jc w:val="both"/>
      </w:pPr>
      <w:r>
        <w:rPr>
          <w:rFonts w:ascii="Times New Roman" w:hAnsi="Times New Roman"/>
          <w:b w:val="0"/>
          <w:i w:val="0"/>
          <w:sz w:val="20"/>
        </w:rPr>
        <w:t>[14] X. Cao, M. Fang, J. Liu, and N. Z. Gong, "FLTrust: Byzantine-robust Federated Learning via Trust Bootstrapping," in Proceedings of the 29th Annual Network and Distributed System Security Symposium (NDSS), 2022.</w:t>
      </w:r>
    </w:p>
    <w:p>
      <w:pPr>
        <w:spacing w:before="40" w:after="120" w:line="276" w:lineRule="auto"/>
        <w:ind w:left="576" w:hanging="576"/>
        <w:jc w:val="both"/>
      </w:pPr>
      <w:r>
        <w:rPr>
          <w:rFonts w:ascii="Times New Roman" w:hAnsi="Times New Roman"/>
          <w:b w:val="0"/>
          <w:i w:val="0"/>
          <w:sz w:val="20"/>
        </w:rPr>
        <w:t>[15] T. Li, A. K. Sahu, M. Zaheer, M. Sanjabi, A. Talwalkar, and V. Smith, "Federated Optimization in Heterogeneous Networks," in Proceedings of Machine Learning and Systems (MLSys), vol. 2, 2020, pp. 429–450.</w:t>
      </w:r>
    </w:p>
    <w:sectPr w:rsidR="00FC693F" w:rsidRPr="0006063C" w:rsidSect="00034616">
      <w:headerReference w:type="default" r:id="rId9"/>
      <w:footerReference w:type="default" r:id="rId10"/>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Computer Engineering, SIES GST (Autonomous)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BC-FL-SRV: Verifiable Admission Decisions for Privacy-Preserving FL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