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A3E" w:rsidRPr="00727B04" w:rsidRDefault="00B17A3E" w:rsidP="00727B04">
      <w:pPr>
        <w:jc w:val="both"/>
        <w:rPr>
          <w:rFonts w:cstheme="minorHAnsi"/>
          <w:b/>
          <w:noProof/>
          <w:sz w:val="36"/>
        </w:rPr>
      </w:pPr>
      <w:r w:rsidRPr="00727B04">
        <w:rPr>
          <w:rFonts w:cstheme="minorHAnsi"/>
          <w:b/>
          <w:noProof/>
          <w:sz w:val="36"/>
        </w:rPr>
        <w:t>Transmitter Module</w:t>
      </w:r>
    </w:p>
    <w:p w:rsidR="00D046BC" w:rsidRPr="00727B04" w:rsidRDefault="00B17A3E" w:rsidP="00727B04">
      <w:pPr>
        <w:jc w:val="both"/>
        <w:rPr>
          <w:rFonts w:cstheme="minorHAnsi"/>
          <w:noProof/>
        </w:rPr>
      </w:pPr>
      <w:r w:rsidRPr="00727B04">
        <w:rPr>
          <w:rFonts w:cstheme="minorHAnsi"/>
          <w:noProof/>
        </w:rPr>
        <w:drawing>
          <wp:inline distT="0" distB="0" distL="0" distR="0">
            <wp:extent cx="5771192" cy="2818244"/>
            <wp:effectExtent l="0" t="0" r="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221" cy="282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046BC" w:rsidRPr="00727B04" w:rsidRDefault="00D046BC" w:rsidP="00727B04">
      <w:pPr>
        <w:jc w:val="center"/>
        <w:rPr>
          <w:rFonts w:cstheme="minorHAnsi"/>
        </w:rPr>
      </w:pPr>
      <w:r w:rsidRPr="00727B04">
        <w:rPr>
          <w:rFonts w:cstheme="minorHAnsi"/>
        </w:rPr>
        <w:t>Fig1: Saline Le</w:t>
      </w:r>
      <w:r w:rsidR="00B17A3E" w:rsidRPr="00727B04">
        <w:rPr>
          <w:rFonts w:cstheme="minorHAnsi"/>
        </w:rPr>
        <w:t>vel Indicator Transmitter Block Diagram</w:t>
      </w:r>
    </w:p>
    <w:p w:rsidR="00E30F02" w:rsidRPr="00727B04" w:rsidRDefault="00E30F02" w:rsidP="00727B04">
      <w:pPr>
        <w:jc w:val="both"/>
        <w:rPr>
          <w:rFonts w:cstheme="minorHAnsi"/>
        </w:rPr>
      </w:pPr>
    </w:p>
    <w:p w:rsidR="00E30F02" w:rsidRPr="00727B04" w:rsidRDefault="00E30F02" w:rsidP="00727B04">
      <w:pPr>
        <w:jc w:val="both"/>
        <w:rPr>
          <w:rFonts w:cstheme="minorHAnsi"/>
        </w:rPr>
      </w:pPr>
      <w:r w:rsidRPr="00727B04">
        <w:rPr>
          <w:rFonts w:cstheme="minorHAnsi"/>
          <w:noProof/>
        </w:rPr>
        <w:drawing>
          <wp:inline distT="0" distB="0" distL="0" distR="0">
            <wp:extent cx="5943600" cy="36703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282C" w:rsidRPr="00727B04" w:rsidRDefault="00E30F02" w:rsidP="00727B04">
      <w:pPr>
        <w:jc w:val="both"/>
        <w:rPr>
          <w:rFonts w:cstheme="minorHAnsi"/>
        </w:rPr>
      </w:pPr>
      <w:r w:rsidRPr="00727B04">
        <w:rPr>
          <w:rFonts w:cstheme="minorHAnsi"/>
        </w:rPr>
        <w:t>Fig2: Saline Level Indicator Transmitter</w:t>
      </w:r>
      <w:r w:rsidR="00B67CD7" w:rsidRPr="00727B04">
        <w:rPr>
          <w:rFonts w:cstheme="minorHAnsi"/>
        </w:rPr>
        <w:t xml:space="preserve"> </w:t>
      </w:r>
      <w:r w:rsidRPr="00727B04">
        <w:rPr>
          <w:rFonts w:cstheme="minorHAnsi"/>
        </w:rPr>
        <w:t>Schematic Diagram</w:t>
      </w:r>
    </w:p>
    <w:p w:rsidR="00727B04" w:rsidRPr="00727B04" w:rsidRDefault="00727B04" w:rsidP="00727B04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727B04">
        <w:rPr>
          <w:rFonts w:eastAsia="Times New Roman" w:cstheme="minorHAnsi"/>
          <w:b/>
          <w:bCs/>
          <w:sz w:val="36"/>
          <w:szCs w:val="36"/>
        </w:rPr>
        <w:lastRenderedPageBreak/>
        <w:t>Working Procedure of the Saline Bottle Monitoring System</w:t>
      </w:r>
    </w:p>
    <w:p w:rsidR="00727B04" w:rsidRPr="00727B04" w:rsidRDefault="00727B04" w:rsidP="00727B0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727B04">
        <w:rPr>
          <w:rFonts w:eastAsia="Times New Roman" w:cstheme="minorHAnsi"/>
          <w:sz w:val="24"/>
          <w:szCs w:val="24"/>
        </w:rPr>
        <w:t>Connect the power adapters to the transmitter board and switch on the power supply.</w:t>
      </w:r>
    </w:p>
    <w:p w:rsidR="00727B04" w:rsidRPr="00727B04" w:rsidRDefault="00727B04" w:rsidP="00727B0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727B04">
        <w:rPr>
          <w:rFonts w:eastAsia="Times New Roman" w:cstheme="minorHAnsi"/>
          <w:sz w:val="24"/>
          <w:szCs w:val="24"/>
        </w:rPr>
        <w:t>Hang the saline bottle on the hook of the transmitter unit. The hook is connected to a load cell, which is interfaced with the ESP32 processor through an HX711 load cell amplifier.</w:t>
      </w:r>
    </w:p>
    <w:p w:rsidR="00727B04" w:rsidRPr="00727B04" w:rsidRDefault="00727B04" w:rsidP="00727B0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727B04">
        <w:rPr>
          <w:rFonts w:eastAsia="Times New Roman" w:cstheme="minorHAnsi"/>
          <w:sz w:val="24"/>
          <w:szCs w:val="24"/>
        </w:rPr>
        <w:t>Set the threshold weight of the saline bottle to 30 grams.</w:t>
      </w:r>
    </w:p>
    <w:p w:rsidR="00727B04" w:rsidRPr="00727B04" w:rsidRDefault="00727B04" w:rsidP="00727B0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727B04">
        <w:rPr>
          <w:rFonts w:eastAsia="Times New Roman" w:cstheme="minorHAnsi"/>
          <w:sz w:val="24"/>
          <w:szCs w:val="24"/>
        </w:rPr>
        <w:t>When the saline bottle's weight decreases below 30 grams, the transmitter activates slow music near the saline bottle to alert the patient or nearby attendants. Simultaneously, it sends a signal to the receiver module installed in the nurse's room.</w:t>
      </w:r>
    </w:p>
    <w:p w:rsidR="00727B04" w:rsidRPr="00727B04" w:rsidRDefault="00727B04" w:rsidP="00727B0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727B04">
        <w:rPr>
          <w:rFonts w:eastAsia="Times New Roman" w:cstheme="minorHAnsi"/>
          <w:sz w:val="24"/>
          <w:szCs w:val="24"/>
        </w:rPr>
        <w:t>At the receiver unit in the nurse's room, the red LED glows and the buzzer sounds to alert the nurse that the saline bottle is nearly empty and requires attention.</w:t>
      </w:r>
    </w:p>
    <w:p w:rsidR="00727B04" w:rsidRPr="00727B04" w:rsidRDefault="00727B04" w:rsidP="00727B0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727B04">
        <w:rPr>
          <w:rFonts w:eastAsia="Times New Roman" w:cstheme="minorHAnsi"/>
          <w:sz w:val="24"/>
          <w:szCs w:val="24"/>
        </w:rPr>
        <w:t>When the saline bottle's weight is above the threshold of 30 grams, no music is activated at the transmitter unit. However, a signal is sent to the receiver module, where the green LED glows, indicating that the saline bottle has not yet reached the low-weight threshold.</w:t>
      </w:r>
    </w:p>
    <w:p w:rsidR="00727B04" w:rsidRPr="00727B04" w:rsidRDefault="00727B04" w:rsidP="00727B0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727B04">
        <w:rPr>
          <w:rFonts w:eastAsia="Times New Roman" w:cstheme="minorHAnsi"/>
          <w:sz w:val="24"/>
          <w:szCs w:val="24"/>
        </w:rPr>
        <w:t>An OLED display is provided at the receiver unit to display the communication status and other relevant information received from the transmitter, such as the saline bottle's weight and its status.</w:t>
      </w:r>
    </w:p>
    <w:p w:rsidR="005A5E5E" w:rsidRPr="00727B04" w:rsidRDefault="005A5E5E" w:rsidP="00727B04">
      <w:pPr>
        <w:jc w:val="both"/>
        <w:rPr>
          <w:rFonts w:cstheme="minorHAnsi"/>
        </w:rPr>
      </w:pPr>
      <w:r w:rsidRPr="00727B04">
        <w:rPr>
          <w:rFonts w:cstheme="minorHAnsi"/>
          <w:noProof/>
        </w:rPr>
        <w:lastRenderedPageBreak/>
        <w:drawing>
          <wp:inline distT="0" distB="0" distL="0" distR="0">
            <wp:extent cx="4457700" cy="44577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665" w:rsidRPr="00727B04" w:rsidRDefault="007E1665" w:rsidP="00727B04">
      <w:pPr>
        <w:jc w:val="both"/>
        <w:rPr>
          <w:rFonts w:cstheme="minorHAnsi"/>
        </w:rPr>
      </w:pPr>
      <w:r w:rsidRPr="00727B04">
        <w:rPr>
          <w:rFonts w:cstheme="minorHAnsi"/>
          <w:noProof/>
        </w:rPr>
        <w:drawing>
          <wp:inline distT="0" distB="0" distL="0" distR="0">
            <wp:extent cx="4032250" cy="2838450"/>
            <wp:effectExtent l="1905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5E5E" w:rsidRPr="00727B04" w:rsidRDefault="005A5E5E" w:rsidP="00727B04">
      <w:pPr>
        <w:jc w:val="both"/>
        <w:rPr>
          <w:rFonts w:cstheme="minorHAnsi"/>
          <w:b/>
          <w:noProof/>
          <w:sz w:val="36"/>
        </w:rPr>
      </w:pPr>
    </w:p>
    <w:p w:rsidR="00C67D1B" w:rsidRPr="00727B04" w:rsidRDefault="00C67D1B" w:rsidP="00727B04">
      <w:pPr>
        <w:jc w:val="both"/>
        <w:rPr>
          <w:rFonts w:cstheme="minorHAnsi"/>
          <w:b/>
          <w:noProof/>
          <w:sz w:val="36"/>
        </w:rPr>
      </w:pPr>
    </w:p>
    <w:p w:rsidR="00C67D1B" w:rsidRPr="00727B04" w:rsidRDefault="00C67D1B" w:rsidP="00727B04">
      <w:pPr>
        <w:jc w:val="both"/>
        <w:rPr>
          <w:rFonts w:cstheme="minorHAnsi"/>
          <w:b/>
          <w:noProof/>
          <w:sz w:val="36"/>
        </w:rPr>
      </w:pPr>
      <w:r w:rsidRPr="00727B04">
        <w:rPr>
          <w:rFonts w:cstheme="minorHAnsi"/>
          <w:b/>
          <w:noProof/>
          <w:sz w:val="36"/>
        </w:rPr>
        <w:drawing>
          <wp:inline distT="0" distB="0" distL="0" distR="0">
            <wp:extent cx="5499100" cy="6699250"/>
            <wp:effectExtent l="1905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669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5E5E" w:rsidRPr="00727B04" w:rsidRDefault="005A5E5E" w:rsidP="00727B04">
      <w:pPr>
        <w:jc w:val="both"/>
        <w:rPr>
          <w:rFonts w:cstheme="minorHAnsi"/>
          <w:b/>
          <w:noProof/>
          <w:sz w:val="36"/>
        </w:rPr>
      </w:pPr>
    </w:p>
    <w:p w:rsidR="005A5E5E" w:rsidRPr="00727B04" w:rsidRDefault="005A5E5E" w:rsidP="00727B04">
      <w:pPr>
        <w:jc w:val="both"/>
        <w:rPr>
          <w:rFonts w:cstheme="minorHAnsi"/>
          <w:b/>
          <w:noProof/>
          <w:sz w:val="36"/>
        </w:rPr>
      </w:pPr>
    </w:p>
    <w:p w:rsidR="00B17A3E" w:rsidRPr="00727B04" w:rsidRDefault="00B17A3E" w:rsidP="00727B04">
      <w:pPr>
        <w:jc w:val="both"/>
        <w:rPr>
          <w:rFonts w:cstheme="minorHAnsi"/>
          <w:b/>
          <w:noProof/>
          <w:sz w:val="36"/>
        </w:rPr>
      </w:pPr>
      <w:r w:rsidRPr="00727B04">
        <w:rPr>
          <w:rFonts w:cstheme="minorHAnsi"/>
          <w:b/>
          <w:noProof/>
          <w:sz w:val="36"/>
        </w:rPr>
        <w:lastRenderedPageBreak/>
        <w:t>Receiver Module</w:t>
      </w:r>
    </w:p>
    <w:p w:rsidR="00B17A3E" w:rsidRPr="00727B04" w:rsidRDefault="00B17A3E" w:rsidP="00727B04">
      <w:pPr>
        <w:jc w:val="both"/>
        <w:rPr>
          <w:rFonts w:cstheme="minorHAnsi"/>
        </w:rPr>
      </w:pPr>
    </w:p>
    <w:p w:rsidR="007F282C" w:rsidRPr="00727B04" w:rsidRDefault="00B17A3E" w:rsidP="00727B04">
      <w:pPr>
        <w:jc w:val="both"/>
        <w:rPr>
          <w:rFonts w:cstheme="minorHAnsi"/>
        </w:rPr>
      </w:pPr>
      <w:r w:rsidRPr="00727B04">
        <w:rPr>
          <w:rFonts w:cstheme="minorHAnsi"/>
          <w:noProof/>
        </w:rPr>
        <w:drawing>
          <wp:inline distT="0" distB="0" distL="0" distR="0">
            <wp:extent cx="4013200" cy="2637281"/>
            <wp:effectExtent l="1905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38" cy="264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F57D1" w:rsidRPr="00727B04" w:rsidRDefault="00C82709" w:rsidP="005C79BA">
      <w:pPr>
        <w:jc w:val="center"/>
        <w:rPr>
          <w:rFonts w:cstheme="minorHAnsi"/>
        </w:rPr>
      </w:pPr>
      <w:r w:rsidRPr="00727B04">
        <w:rPr>
          <w:rFonts w:cstheme="minorHAnsi"/>
        </w:rPr>
        <w:t xml:space="preserve">Fig2: Saline Level Indicator Receiver </w:t>
      </w:r>
      <w:r w:rsidR="00B17A3E" w:rsidRPr="00727B04">
        <w:rPr>
          <w:rFonts w:cstheme="minorHAnsi"/>
        </w:rPr>
        <w:t>Block Diagram</w:t>
      </w:r>
    </w:p>
    <w:p w:rsidR="00FF57D1" w:rsidRPr="00727B04" w:rsidRDefault="00FF57D1" w:rsidP="00727B04">
      <w:pPr>
        <w:jc w:val="both"/>
        <w:rPr>
          <w:rFonts w:cstheme="minorHAnsi"/>
        </w:rPr>
      </w:pPr>
      <w:r w:rsidRPr="00727B04">
        <w:rPr>
          <w:rFonts w:cstheme="minorHAnsi"/>
          <w:noProof/>
        </w:rPr>
        <w:drawing>
          <wp:inline distT="0" distB="0" distL="0" distR="0">
            <wp:extent cx="5664200" cy="3968750"/>
            <wp:effectExtent l="1905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396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F57D1" w:rsidRPr="00727B04" w:rsidRDefault="00FF57D1" w:rsidP="005C79BA">
      <w:pPr>
        <w:jc w:val="center"/>
        <w:rPr>
          <w:rFonts w:cstheme="minorHAnsi"/>
        </w:rPr>
      </w:pPr>
      <w:r w:rsidRPr="00727B04">
        <w:rPr>
          <w:rFonts w:cstheme="minorHAnsi"/>
        </w:rPr>
        <w:t>Fig4: Saline</w:t>
      </w:r>
      <w:r w:rsidR="00E30F02" w:rsidRPr="00727B04">
        <w:rPr>
          <w:rFonts w:cstheme="minorHAnsi"/>
        </w:rPr>
        <w:t xml:space="preserve"> Level Indicator Receiver Schematic Diagram</w:t>
      </w:r>
    </w:p>
    <w:p w:rsidR="005A5E5E" w:rsidRPr="00727B04" w:rsidRDefault="005A5E5E" w:rsidP="00727B04">
      <w:pPr>
        <w:jc w:val="both"/>
        <w:rPr>
          <w:rFonts w:cstheme="minorHAnsi"/>
        </w:rPr>
      </w:pPr>
      <w:r w:rsidRPr="00727B04">
        <w:rPr>
          <w:rFonts w:cstheme="minorHAnsi"/>
          <w:noProof/>
        </w:rPr>
        <w:lastRenderedPageBreak/>
        <w:drawing>
          <wp:inline distT="0" distB="0" distL="0" distR="0">
            <wp:extent cx="4318000" cy="3060700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306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665" w:rsidRPr="00727B04" w:rsidRDefault="007E1665" w:rsidP="00727B04">
      <w:pPr>
        <w:jc w:val="both"/>
        <w:rPr>
          <w:rFonts w:cstheme="minorHAnsi"/>
        </w:rPr>
      </w:pPr>
      <w:r w:rsidRPr="00727B04">
        <w:rPr>
          <w:rFonts w:cstheme="minorHAnsi"/>
          <w:noProof/>
        </w:rPr>
        <w:drawing>
          <wp:inline distT="0" distB="0" distL="0" distR="0">
            <wp:extent cx="2832100" cy="2489200"/>
            <wp:effectExtent l="19050" t="0" r="6350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E1665" w:rsidRPr="00727B04" w:rsidSect="00985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092B5E"/>
    <w:multiLevelType w:val="hybridMultilevel"/>
    <w:tmpl w:val="CADC0150"/>
    <w:lvl w:ilvl="0" w:tplc="DCB0EA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1178FA"/>
    <w:multiLevelType w:val="hybridMultilevel"/>
    <w:tmpl w:val="DE54BEB2"/>
    <w:lvl w:ilvl="0" w:tplc="3B36EDEA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046BC"/>
    <w:rsid w:val="001A4FF9"/>
    <w:rsid w:val="0026200A"/>
    <w:rsid w:val="00340FE6"/>
    <w:rsid w:val="00491532"/>
    <w:rsid w:val="004D2513"/>
    <w:rsid w:val="005866FF"/>
    <w:rsid w:val="005A5E5E"/>
    <w:rsid w:val="005C79BA"/>
    <w:rsid w:val="00605701"/>
    <w:rsid w:val="00721469"/>
    <w:rsid w:val="00727B04"/>
    <w:rsid w:val="007A022D"/>
    <w:rsid w:val="007E1665"/>
    <w:rsid w:val="007F282C"/>
    <w:rsid w:val="00861558"/>
    <w:rsid w:val="00900E9A"/>
    <w:rsid w:val="00985BDA"/>
    <w:rsid w:val="009E4A7E"/>
    <w:rsid w:val="00AC21D4"/>
    <w:rsid w:val="00AE378F"/>
    <w:rsid w:val="00B17A3E"/>
    <w:rsid w:val="00B67CD7"/>
    <w:rsid w:val="00C11784"/>
    <w:rsid w:val="00C67D1B"/>
    <w:rsid w:val="00C82709"/>
    <w:rsid w:val="00D046BC"/>
    <w:rsid w:val="00E30F02"/>
    <w:rsid w:val="00F82542"/>
    <w:rsid w:val="00F90985"/>
    <w:rsid w:val="00FF57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BDA"/>
  </w:style>
  <w:style w:type="paragraph" w:styleId="Heading2">
    <w:name w:val="heading 2"/>
    <w:basedOn w:val="Normal"/>
    <w:link w:val="Heading2Char"/>
    <w:uiPriority w:val="9"/>
    <w:qFormat/>
    <w:rsid w:val="00727B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46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6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67D1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27B0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27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86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senapati</dc:creator>
  <cp:keywords/>
  <dc:description/>
  <cp:lastModifiedBy>manoj senapati</cp:lastModifiedBy>
  <cp:revision>22</cp:revision>
  <dcterms:created xsi:type="dcterms:W3CDTF">2026-07-09T08:43:00Z</dcterms:created>
  <dcterms:modified xsi:type="dcterms:W3CDTF">2026-10-16T17:22:00Z</dcterms:modified>
</cp:coreProperties>
</file>