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SETU</w:t>
      </w:r>
    </w:p>
    <w:p>
      <w:pPr>
        <w:jc w:val="center"/>
      </w:pPr>
      <w:r>
        <w:rPr>
          <w:b/>
          <w:sz w:val="44"/>
        </w:rPr>
        <w:t>Technical Stack &amp; Architecture Document</w:t>
      </w:r>
    </w:p>
    <w:p>
      <w:pPr>
        <w:jc w:val="center"/>
      </w:pPr>
      <w:r>
        <w:rPr>
          <w:b/>
        </w:rPr>
        <w:t>Rural Healthcare Access &amp; Coordination Platform</w:t>
        <w:br/>
      </w:r>
      <w:r>
        <w:t>PS:26133 • Government of Maharashtra</w:t>
        <w:br/>
      </w:r>
      <w:r>
        <w:t>Version 1.0 • Engineering / Architecture Reference</w:t>
      </w:r>
    </w:p>
    <w:p>
      <w:r>
        <w:br w:type="page"/>
      </w:r>
    </w:p>
    <w:p>
      <w:pPr>
        <w:pStyle w:val="Heading1"/>
      </w:pPr>
      <w:r>
        <w:t>1. Technical Vision</w:t>
      </w:r>
    </w:p>
    <w:p>
      <w:r>
        <w:t>Setu should be built as a single, modular healthcare platform rather than eight disconnected applications. All role dashboards share one domain model, authorization layer, APIs, audit system and data platform. The interface changes by role, but the underlying healthcare network remains connected.</w:t>
      </w:r>
    </w:p>
    <w:p>
      <w:pPr>
        <w:jc w:val="center"/>
      </w:pPr>
      <w:r>
        <w:rPr>
          <w:b/>
          <w:sz w:val="26"/>
        </w:rPr>
        <w:t>ONE PLATFORM → ONE IDENTITY → ONE SHARED HEALTHCARE NETWORK → ROLE-SPECIFIC EXPERIENCES</w:t>
      </w:r>
    </w:p>
    <w:p>
      <w:pPr>
        <w:pStyle w:val="Heading1"/>
      </w:pPr>
      <w:r>
        <w:t>2. Recommended Core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FEA"/>
          </w:tcPr>
          <w:p>
            <w:r>
              <w:rPr>
                <w:b/>
                <w:sz w:val="18"/>
              </w:rPr>
              <w:t>Layer</w:t>
            </w:r>
          </w:p>
        </w:tc>
        <w:tc>
          <w:tcPr>
            <w:tcW w:type="dxa" w:w="3360"/>
            <w:shd w:fill="DDEFEA"/>
          </w:tcPr>
          <w:p>
            <w:r>
              <w:rPr>
                <w:b/>
                <w:sz w:val="18"/>
              </w:rPr>
              <w:t>Technology</w:t>
            </w:r>
          </w:p>
        </w:tc>
        <w:tc>
          <w:tcPr>
            <w:tcW w:type="dxa" w:w="3360"/>
            <w:shd w:fill="DDEFEA"/>
          </w:tcPr>
          <w:p>
            <w:r>
              <w:rPr>
                <w:b/>
                <w:sz w:val="18"/>
              </w:rPr>
              <w:t>Purpose</w:t>
            </w:r>
          </w:p>
        </w:tc>
      </w:tr>
      <w:tr>
        <w:tc>
          <w:tcPr>
            <w:tcW w:type="dxa" w:w="3360"/>
            <w:vAlign w:val="center"/>
          </w:tcPr>
          <w:p>
            <w:r>
              <w:rPr>
                <w:sz w:val="18"/>
              </w:rPr>
              <w:t>Web framework</w:t>
            </w:r>
          </w:p>
        </w:tc>
        <w:tc>
          <w:tcPr>
            <w:tcW w:type="dxa" w:w="3360"/>
            <w:vAlign w:val="center"/>
          </w:tcPr>
          <w:p>
            <w:r>
              <w:rPr>
                <w:sz w:val="18"/>
              </w:rPr>
              <w:t>Next.js 14/15+ — App Router</w:t>
            </w:r>
          </w:p>
        </w:tc>
        <w:tc>
          <w:tcPr>
            <w:tcW w:type="dxa" w:w="3360"/>
            <w:vAlign w:val="center"/>
          </w:tcPr>
          <w:p>
            <w:r>
              <w:rPr>
                <w:sz w:val="18"/>
              </w:rPr>
              <w:t>Application shell, routing, server/client rendering and backend endpoints</w:t>
            </w:r>
          </w:p>
        </w:tc>
      </w:tr>
      <w:tr>
        <w:tc>
          <w:tcPr>
            <w:tcW w:type="dxa" w:w="3360"/>
            <w:vAlign w:val="center"/>
          </w:tcPr>
          <w:p>
            <w:r>
              <w:rPr>
                <w:sz w:val="18"/>
              </w:rPr>
              <w:t>Language</w:t>
            </w:r>
          </w:p>
        </w:tc>
        <w:tc>
          <w:tcPr>
            <w:tcW w:type="dxa" w:w="3360"/>
            <w:vAlign w:val="center"/>
          </w:tcPr>
          <w:p>
            <w:r>
              <w:rPr>
                <w:sz w:val="18"/>
              </w:rPr>
              <w:t>TypeScript</w:t>
            </w:r>
          </w:p>
        </w:tc>
        <w:tc>
          <w:tcPr>
            <w:tcW w:type="dxa" w:w="3360"/>
            <w:vAlign w:val="center"/>
          </w:tcPr>
          <w:p>
            <w:r>
              <w:rPr>
                <w:sz w:val="18"/>
              </w:rPr>
              <w:t>End-to-end type safety</w:t>
            </w:r>
          </w:p>
        </w:tc>
      </w:tr>
      <w:tr>
        <w:tc>
          <w:tcPr>
            <w:tcW w:type="dxa" w:w="3360"/>
            <w:vAlign w:val="center"/>
          </w:tcPr>
          <w:p>
            <w:r>
              <w:rPr>
                <w:sz w:val="18"/>
              </w:rPr>
              <w:t>UI</w:t>
            </w:r>
          </w:p>
        </w:tc>
        <w:tc>
          <w:tcPr>
            <w:tcW w:type="dxa" w:w="3360"/>
            <w:vAlign w:val="center"/>
          </w:tcPr>
          <w:p>
            <w:r>
              <w:rPr>
                <w:sz w:val="18"/>
              </w:rPr>
              <w:t>React</w:t>
            </w:r>
          </w:p>
        </w:tc>
        <w:tc>
          <w:tcPr>
            <w:tcW w:type="dxa" w:w="3360"/>
            <w:vAlign w:val="center"/>
          </w:tcPr>
          <w:p>
            <w:r>
              <w:rPr>
                <w:sz w:val="18"/>
              </w:rPr>
              <w:t>Reusable role-based interfaces</w:t>
            </w:r>
          </w:p>
        </w:tc>
      </w:tr>
      <w:tr>
        <w:tc>
          <w:tcPr>
            <w:tcW w:type="dxa" w:w="3360"/>
            <w:vAlign w:val="center"/>
          </w:tcPr>
          <w:p>
            <w:r>
              <w:rPr>
                <w:sz w:val="18"/>
              </w:rPr>
              <w:t>Styling</w:t>
            </w:r>
          </w:p>
        </w:tc>
        <w:tc>
          <w:tcPr>
            <w:tcW w:type="dxa" w:w="3360"/>
            <w:vAlign w:val="center"/>
          </w:tcPr>
          <w:p>
            <w:r>
              <w:rPr>
                <w:sz w:val="18"/>
              </w:rPr>
              <w:t>Tailwind CSS</w:t>
            </w:r>
          </w:p>
        </w:tc>
        <w:tc>
          <w:tcPr>
            <w:tcW w:type="dxa" w:w="3360"/>
            <w:vAlign w:val="center"/>
          </w:tcPr>
          <w:p>
            <w:r>
              <w:rPr>
                <w:sz w:val="18"/>
              </w:rPr>
              <w:t>Token-driven responsive styling</w:t>
            </w:r>
          </w:p>
        </w:tc>
      </w:tr>
      <w:tr>
        <w:tc>
          <w:tcPr>
            <w:tcW w:type="dxa" w:w="3360"/>
            <w:vAlign w:val="center"/>
          </w:tcPr>
          <w:p>
            <w:r>
              <w:rPr>
                <w:sz w:val="18"/>
              </w:rPr>
              <w:t>Components</w:t>
            </w:r>
          </w:p>
        </w:tc>
        <w:tc>
          <w:tcPr>
            <w:tcW w:type="dxa" w:w="3360"/>
            <w:vAlign w:val="center"/>
          </w:tcPr>
          <w:p>
            <w:r>
              <w:rPr>
                <w:sz w:val="18"/>
              </w:rPr>
              <w:t>shadcn/ui</w:t>
            </w:r>
          </w:p>
        </w:tc>
        <w:tc>
          <w:tcPr>
            <w:tcW w:type="dxa" w:w="3360"/>
            <w:vAlign w:val="center"/>
          </w:tcPr>
          <w:p>
            <w:r>
              <w:rPr>
                <w:sz w:val="18"/>
              </w:rPr>
              <w:t>Accessible, customizable UI primitives</w:t>
            </w:r>
          </w:p>
        </w:tc>
      </w:tr>
      <w:tr>
        <w:tc>
          <w:tcPr>
            <w:tcW w:type="dxa" w:w="3360"/>
            <w:vAlign w:val="center"/>
          </w:tcPr>
          <w:p>
            <w:r>
              <w:rPr>
                <w:sz w:val="18"/>
              </w:rPr>
              <w:t>Icons</w:t>
            </w:r>
          </w:p>
        </w:tc>
        <w:tc>
          <w:tcPr>
            <w:tcW w:type="dxa" w:w="3360"/>
            <w:vAlign w:val="center"/>
          </w:tcPr>
          <w:p>
            <w:r>
              <w:rPr>
                <w:sz w:val="18"/>
              </w:rPr>
              <w:t>Lucide React</w:t>
            </w:r>
          </w:p>
        </w:tc>
        <w:tc>
          <w:tcPr>
            <w:tcW w:type="dxa" w:w="3360"/>
            <w:vAlign w:val="center"/>
          </w:tcPr>
          <w:p>
            <w:r>
              <w:rPr>
                <w:sz w:val="18"/>
              </w:rPr>
              <w:t>Consistent lightweight icons</w:t>
            </w:r>
          </w:p>
        </w:tc>
      </w:tr>
      <w:tr>
        <w:tc>
          <w:tcPr>
            <w:tcW w:type="dxa" w:w="3360"/>
            <w:vAlign w:val="center"/>
          </w:tcPr>
          <w:p>
            <w:r>
              <w:rPr>
                <w:sz w:val="18"/>
              </w:rPr>
              <w:t>Motion</w:t>
            </w:r>
          </w:p>
        </w:tc>
        <w:tc>
          <w:tcPr>
            <w:tcW w:type="dxa" w:w="3360"/>
            <w:vAlign w:val="center"/>
          </w:tcPr>
          <w:p>
            <w:r>
              <w:rPr>
                <w:sz w:val="18"/>
              </w:rPr>
              <w:t>Framer Motion</w:t>
            </w:r>
          </w:p>
        </w:tc>
        <w:tc>
          <w:tcPr>
            <w:tcW w:type="dxa" w:w="3360"/>
            <w:vAlign w:val="center"/>
          </w:tcPr>
          <w:p>
            <w:r>
              <w:rPr>
                <w:sz w:val="18"/>
              </w:rPr>
              <w:t>Restrained state transitions</w:t>
            </w:r>
          </w:p>
        </w:tc>
      </w:tr>
      <w:tr>
        <w:tc>
          <w:tcPr>
            <w:tcW w:type="dxa" w:w="3360"/>
            <w:vAlign w:val="center"/>
          </w:tcPr>
          <w:p>
            <w:r>
              <w:rPr>
                <w:sz w:val="18"/>
              </w:rPr>
              <w:t>Forms</w:t>
            </w:r>
          </w:p>
        </w:tc>
        <w:tc>
          <w:tcPr>
            <w:tcW w:type="dxa" w:w="3360"/>
            <w:vAlign w:val="center"/>
          </w:tcPr>
          <w:p>
            <w:r>
              <w:rPr>
                <w:sz w:val="18"/>
              </w:rPr>
              <w:t>React Hook Form</w:t>
            </w:r>
          </w:p>
        </w:tc>
        <w:tc>
          <w:tcPr>
            <w:tcW w:type="dxa" w:w="3360"/>
            <w:vAlign w:val="center"/>
          </w:tcPr>
          <w:p>
            <w:r>
              <w:rPr>
                <w:sz w:val="18"/>
              </w:rPr>
              <w:t>Performant form handling</w:t>
            </w:r>
          </w:p>
        </w:tc>
      </w:tr>
      <w:tr>
        <w:tc>
          <w:tcPr>
            <w:tcW w:type="dxa" w:w="3360"/>
            <w:vAlign w:val="center"/>
          </w:tcPr>
          <w:p>
            <w:r>
              <w:rPr>
                <w:sz w:val="18"/>
              </w:rPr>
              <w:t>Validation</w:t>
            </w:r>
          </w:p>
        </w:tc>
        <w:tc>
          <w:tcPr>
            <w:tcW w:type="dxa" w:w="3360"/>
            <w:vAlign w:val="center"/>
          </w:tcPr>
          <w:p>
            <w:r>
              <w:rPr>
                <w:sz w:val="18"/>
              </w:rPr>
              <w:t>Zod</w:t>
            </w:r>
          </w:p>
        </w:tc>
        <w:tc>
          <w:tcPr>
            <w:tcW w:type="dxa" w:w="3360"/>
            <w:vAlign w:val="center"/>
          </w:tcPr>
          <w:p>
            <w:r>
              <w:rPr>
                <w:sz w:val="18"/>
              </w:rPr>
              <w:t>Shared runtime/schema validation</w:t>
            </w:r>
          </w:p>
        </w:tc>
      </w:tr>
      <w:tr>
        <w:tc>
          <w:tcPr>
            <w:tcW w:type="dxa" w:w="3360"/>
            <w:vAlign w:val="center"/>
          </w:tcPr>
          <w:p>
            <w:r>
              <w:rPr>
                <w:sz w:val="18"/>
              </w:rPr>
              <w:t>Server state</w:t>
            </w:r>
          </w:p>
        </w:tc>
        <w:tc>
          <w:tcPr>
            <w:tcW w:type="dxa" w:w="3360"/>
            <w:vAlign w:val="center"/>
          </w:tcPr>
          <w:p>
            <w:r>
              <w:rPr>
                <w:sz w:val="18"/>
              </w:rPr>
              <w:t>TanStack Query</w:t>
            </w:r>
          </w:p>
        </w:tc>
        <w:tc>
          <w:tcPr>
            <w:tcW w:type="dxa" w:w="3360"/>
            <w:vAlign w:val="center"/>
          </w:tcPr>
          <w:p>
            <w:r>
              <w:rPr>
                <w:sz w:val="18"/>
              </w:rPr>
              <w:t>Caching, synchronization and request state</w:t>
            </w:r>
          </w:p>
        </w:tc>
      </w:tr>
      <w:tr>
        <w:tc>
          <w:tcPr>
            <w:tcW w:type="dxa" w:w="3360"/>
            <w:vAlign w:val="center"/>
          </w:tcPr>
          <w:p>
            <w:r>
              <w:rPr>
                <w:sz w:val="18"/>
              </w:rPr>
              <w:t>Client state</w:t>
            </w:r>
          </w:p>
        </w:tc>
        <w:tc>
          <w:tcPr>
            <w:tcW w:type="dxa" w:w="3360"/>
            <w:vAlign w:val="center"/>
          </w:tcPr>
          <w:p>
            <w:r>
              <w:rPr>
                <w:sz w:val="18"/>
              </w:rPr>
              <w:t>Zustand</w:t>
            </w:r>
          </w:p>
        </w:tc>
        <w:tc>
          <w:tcPr>
            <w:tcW w:type="dxa" w:w="3360"/>
            <w:vAlign w:val="center"/>
          </w:tcPr>
          <w:p>
            <w:r>
              <w:rPr>
                <w:sz w:val="18"/>
              </w:rPr>
              <w:t>Small local/global UI state</w:t>
            </w:r>
          </w:p>
        </w:tc>
      </w:tr>
      <w:tr>
        <w:tc>
          <w:tcPr>
            <w:tcW w:type="dxa" w:w="3360"/>
            <w:vAlign w:val="center"/>
          </w:tcPr>
          <w:p>
            <w:r>
              <w:rPr>
                <w:sz w:val="18"/>
              </w:rPr>
              <w:t>Database</w:t>
            </w:r>
          </w:p>
        </w:tc>
        <w:tc>
          <w:tcPr>
            <w:tcW w:type="dxa" w:w="3360"/>
            <w:vAlign w:val="center"/>
          </w:tcPr>
          <w:p>
            <w:r>
              <w:rPr>
                <w:sz w:val="18"/>
              </w:rPr>
              <w:t>PostgreSQL</w:t>
            </w:r>
          </w:p>
        </w:tc>
        <w:tc>
          <w:tcPr>
            <w:tcW w:type="dxa" w:w="3360"/>
            <w:vAlign w:val="center"/>
          </w:tcPr>
          <w:p>
            <w:r>
              <w:rPr>
                <w:sz w:val="18"/>
              </w:rPr>
              <w:t>Relational healthcare and operational data</w:t>
            </w:r>
          </w:p>
        </w:tc>
      </w:tr>
      <w:tr>
        <w:tc>
          <w:tcPr>
            <w:tcW w:type="dxa" w:w="3360"/>
            <w:vAlign w:val="center"/>
          </w:tcPr>
          <w:p>
            <w:r>
              <w:rPr>
                <w:sz w:val="18"/>
              </w:rPr>
              <w:t>ORM</w:t>
            </w:r>
          </w:p>
        </w:tc>
        <w:tc>
          <w:tcPr>
            <w:tcW w:type="dxa" w:w="3360"/>
            <w:vAlign w:val="center"/>
          </w:tcPr>
          <w:p>
            <w:r>
              <w:rPr>
                <w:sz w:val="18"/>
              </w:rPr>
              <w:t>Prisma</w:t>
            </w:r>
          </w:p>
        </w:tc>
        <w:tc>
          <w:tcPr>
            <w:tcW w:type="dxa" w:w="3360"/>
            <w:vAlign w:val="center"/>
          </w:tcPr>
          <w:p>
            <w:r>
              <w:rPr>
                <w:sz w:val="18"/>
              </w:rPr>
              <w:t>Type-safe database access and migrations</w:t>
            </w:r>
          </w:p>
        </w:tc>
      </w:tr>
      <w:tr>
        <w:tc>
          <w:tcPr>
            <w:tcW w:type="dxa" w:w="3360"/>
            <w:vAlign w:val="center"/>
          </w:tcPr>
          <w:p>
            <w:r>
              <w:rPr>
                <w:sz w:val="18"/>
              </w:rPr>
              <w:t>Authentication</w:t>
            </w:r>
          </w:p>
        </w:tc>
        <w:tc>
          <w:tcPr>
            <w:tcW w:type="dxa" w:w="3360"/>
            <w:vAlign w:val="center"/>
          </w:tcPr>
          <w:p>
            <w:r>
              <w:rPr>
                <w:sz w:val="18"/>
              </w:rPr>
              <w:t>OTP + professional verification; Auth.js/custom auth layer</w:t>
            </w:r>
          </w:p>
        </w:tc>
        <w:tc>
          <w:tcPr>
            <w:tcW w:type="dxa" w:w="3360"/>
            <w:vAlign w:val="center"/>
          </w:tcPr>
          <w:p>
            <w:r>
              <w:rPr>
                <w:sz w:val="18"/>
              </w:rPr>
              <w:t>Patient and professional identity flows</w:t>
            </w:r>
          </w:p>
        </w:tc>
      </w:tr>
      <w:tr>
        <w:tc>
          <w:tcPr>
            <w:tcW w:type="dxa" w:w="3360"/>
            <w:vAlign w:val="center"/>
          </w:tcPr>
          <w:p>
            <w:r>
              <w:rPr>
                <w:sz w:val="18"/>
              </w:rPr>
              <w:t>Authorization</w:t>
            </w:r>
          </w:p>
        </w:tc>
        <w:tc>
          <w:tcPr>
            <w:tcW w:type="dxa" w:w="3360"/>
            <w:vAlign w:val="center"/>
          </w:tcPr>
          <w:p>
            <w:r>
              <w:rPr>
                <w:sz w:val="18"/>
              </w:rPr>
              <w:t>Custom RBAC + scope-based permissions</w:t>
            </w:r>
          </w:p>
        </w:tc>
        <w:tc>
          <w:tcPr>
            <w:tcW w:type="dxa" w:w="3360"/>
            <w:vAlign w:val="center"/>
          </w:tcPr>
          <w:p>
            <w:r>
              <w:rPr>
                <w:sz w:val="18"/>
              </w:rPr>
              <w:t>Role, facility, district and resource-level access control</w:t>
            </w:r>
          </w:p>
        </w:tc>
      </w:tr>
      <w:tr>
        <w:tc>
          <w:tcPr>
            <w:tcW w:type="dxa" w:w="3360"/>
            <w:vAlign w:val="center"/>
          </w:tcPr>
          <w:p>
            <w:r>
              <w:rPr>
                <w:sz w:val="18"/>
              </w:rPr>
              <w:t>Offline storage</w:t>
            </w:r>
          </w:p>
        </w:tc>
        <w:tc>
          <w:tcPr>
            <w:tcW w:type="dxa" w:w="3360"/>
            <w:vAlign w:val="center"/>
          </w:tcPr>
          <w:p>
            <w:r>
              <w:rPr>
                <w:sz w:val="18"/>
              </w:rPr>
              <w:t>IndexedDB + Dexie</w:t>
            </w:r>
          </w:p>
        </w:tc>
        <w:tc>
          <w:tcPr>
            <w:tcW w:type="dxa" w:w="3360"/>
            <w:vAlign w:val="center"/>
          </w:tcPr>
          <w:p>
            <w:r>
              <w:rPr>
                <w:sz w:val="18"/>
              </w:rPr>
              <w:t>Field-worker offline records and sync queue</w:t>
            </w:r>
          </w:p>
        </w:tc>
      </w:tr>
      <w:tr>
        <w:tc>
          <w:tcPr>
            <w:tcW w:type="dxa" w:w="3360"/>
            <w:vAlign w:val="center"/>
          </w:tcPr>
          <w:p>
            <w:r>
              <w:rPr>
                <w:sz w:val="18"/>
              </w:rPr>
              <w:t>PWA</w:t>
            </w:r>
          </w:p>
        </w:tc>
        <w:tc>
          <w:tcPr>
            <w:tcW w:type="dxa" w:w="3360"/>
            <w:vAlign w:val="center"/>
          </w:tcPr>
          <w:p>
            <w:r>
              <w:rPr>
                <w:sz w:val="18"/>
              </w:rPr>
              <w:t>Serwist / Workbox approach</w:t>
            </w:r>
          </w:p>
        </w:tc>
        <w:tc>
          <w:tcPr>
            <w:tcW w:type="dxa" w:w="3360"/>
            <w:vAlign w:val="center"/>
          </w:tcPr>
          <w:p>
            <w:r>
              <w:rPr>
                <w:sz w:val="18"/>
              </w:rPr>
              <w:t>Installability, caching and offline shell</w:t>
            </w:r>
          </w:p>
        </w:tc>
      </w:tr>
      <w:tr>
        <w:tc>
          <w:tcPr>
            <w:tcW w:type="dxa" w:w="3360"/>
            <w:vAlign w:val="center"/>
          </w:tcPr>
          <w:p>
            <w:r>
              <w:rPr>
                <w:sz w:val="18"/>
              </w:rPr>
              <w:t>Cache / queue</w:t>
            </w:r>
          </w:p>
        </w:tc>
        <w:tc>
          <w:tcPr>
            <w:tcW w:type="dxa" w:w="3360"/>
            <w:vAlign w:val="center"/>
          </w:tcPr>
          <w:p>
            <w:r>
              <w:rPr>
                <w:sz w:val="18"/>
              </w:rPr>
              <w:t>Redis</w:t>
            </w:r>
          </w:p>
        </w:tc>
        <w:tc>
          <w:tcPr>
            <w:tcW w:type="dxa" w:w="3360"/>
            <w:vAlign w:val="center"/>
          </w:tcPr>
          <w:p>
            <w:r>
              <w:rPr>
                <w:sz w:val="18"/>
              </w:rPr>
              <w:t>Transient state, rate limiting and job infrastructure</w:t>
            </w:r>
          </w:p>
        </w:tc>
      </w:tr>
      <w:tr>
        <w:tc>
          <w:tcPr>
            <w:tcW w:type="dxa" w:w="3360"/>
            <w:vAlign w:val="center"/>
          </w:tcPr>
          <w:p>
            <w:r>
              <w:rPr>
                <w:sz w:val="18"/>
              </w:rPr>
              <w:t>Background jobs</w:t>
            </w:r>
          </w:p>
        </w:tc>
        <w:tc>
          <w:tcPr>
            <w:tcW w:type="dxa" w:w="3360"/>
            <w:vAlign w:val="center"/>
          </w:tcPr>
          <w:p>
            <w:r>
              <w:rPr>
                <w:sz w:val="18"/>
              </w:rPr>
              <w:t>BullMQ</w:t>
            </w:r>
          </w:p>
        </w:tc>
        <w:tc>
          <w:tcPr>
            <w:tcW w:type="dxa" w:w="3360"/>
            <w:vAlign w:val="center"/>
          </w:tcPr>
          <w:p>
            <w:r>
              <w:rPr>
                <w:sz w:val="18"/>
              </w:rPr>
              <w:t>Notifications, sync, reports and asynchronous processing</w:t>
            </w:r>
          </w:p>
        </w:tc>
      </w:tr>
      <w:tr>
        <w:tc>
          <w:tcPr>
            <w:tcW w:type="dxa" w:w="3360"/>
            <w:vAlign w:val="center"/>
          </w:tcPr>
          <w:p>
            <w:r>
              <w:rPr>
                <w:sz w:val="18"/>
              </w:rPr>
              <w:t>Charts</w:t>
            </w:r>
          </w:p>
        </w:tc>
        <w:tc>
          <w:tcPr>
            <w:tcW w:type="dxa" w:w="3360"/>
            <w:vAlign w:val="center"/>
          </w:tcPr>
          <w:p>
            <w:r>
              <w:rPr>
                <w:sz w:val="18"/>
              </w:rPr>
              <w:t>Recharts</w:t>
            </w:r>
          </w:p>
        </w:tc>
        <w:tc>
          <w:tcPr>
            <w:tcW w:type="dxa" w:w="3360"/>
            <w:vAlign w:val="center"/>
          </w:tcPr>
          <w:p>
            <w:r>
              <w:rPr>
                <w:sz w:val="18"/>
              </w:rPr>
              <w:t>DHO/facility analytics</w:t>
            </w:r>
          </w:p>
        </w:tc>
      </w:tr>
      <w:tr>
        <w:tc>
          <w:tcPr>
            <w:tcW w:type="dxa" w:w="3360"/>
            <w:vAlign w:val="center"/>
          </w:tcPr>
          <w:p>
            <w:r>
              <w:rPr>
                <w:sz w:val="18"/>
              </w:rPr>
              <w:t>Maps</w:t>
            </w:r>
          </w:p>
        </w:tc>
        <w:tc>
          <w:tcPr>
            <w:tcW w:type="dxa" w:w="3360"/>
            <w:vAlign w:val="center"/>
          </w:tcPr>
          <w:p>
            <w:r>
              <w:rPr>
                <w:sz w:val="18"/>
              </w:rPr>
              <w:t>react-simple-maps</w:t>
            </w:r>
          </w:p>
        </w:tc>
        <w:tc>
          <w:tcPr>
            <w:tcW w:type="dxa" w:w="3360"/>
            <w:vAlign w:val="center"/>
          </w:tcPr>
          <w:p>
            <w:r>
              <w:rPr>
                <w:sz w:val="18"/>
              </w:rPr>
              <w:t>Lightweight district heatmap visualization</w:t>
            </w:r>
          </w:p>
        </w:tc>
      </w:tr>
      <w:tr>
        <w:tc>
          <w:tcPr>
            <w:tcW w:type="dxa" w:w="3360"/>
            <w:vAlign w:val="center"/>
          </w:tcPr>
          <w:p>
            <w:r>
              <w:rPr>
                <w:sz w:val="18"/>
              </w:rPr>
              <w:t>Object storage</w:t>
            </w:r>
          </w:p>
        </w:tc>
        <w:tc>
          <w:tcPr>
            <w:tcW w:type="dxa" w:w="3360"/>
            <w:vAlign w:val="center"/>
          </w:tcPr>
          <w:p>
            <w:r>
              <w:rPr>
                <w:sz w:val="18"/>
              </w:rPr>
              <w:t>S3-compatible storage</w:t>
            </w:r>
          </w:p>
        </w:tc>
        <w:tc>
          <w:tcPr>
            <w:tcW w:type="dxa" w:w="3360"/>
            <w:vAlign w:val="center"/>
          </w:tcPr>
          <w:p>
            <w:r>
              <w:rPr>
                <w:sz w:val="18"/>
              </w:rPr>
              <w:t>Reports, documents and attachments</w:t>
            </w:r>
          </w:p>
        </w:tc>
      </w:tr>
      <w:tr>
        <w:tc>
          <w:tcPr>
            <w:tcW w:type="dxa" w:w="3360"/>
            <w:vAlign w:val="center"/>
          </w:tcPr>
          <w:p>
            <w:r>
              <w:rPr>
                <w:sz w:val="18"/>
              </w:rPr>
              <w:t>Testing</w:t>
            </w:r>
          </w:p>
        </w:tc>
        <w:tc>
          <w:tcPr>
            <w:tcW w:type="dxa" w:w="3360"/>
            <w:vAlign w:val="center"/>
          </w:tcPr>
          <w:p>
            <w:r>
              <w:rPr>
                <w:sz w:val="18"/>
              </w:rPr>
              <w:t>Vitest + Playwright</w:t>
            </w:r>
          </w:p>
        </w:tc>
        <w:tc>
          <w:tcPr>
            <w:tcW w:type="dxa" w:w="3360"/>
            <w:vAlign w:val="center"/>
          </w:tcPr>
          <w:p>
            <w:r>
              <w:rPr>
                <w:sz w:val="18"/>
              </w:rPr>
              <w:t>Unit/integration and end-to-end testing</w:t>
            </w:r>
          </w:p>
        </w:tc>
      </w:tr>
      <w:tr>
        <w:tc>
          <w:tcPr>
            <w:tcW w:type="dxa" w:w="3360"/>
            <w:vAlign w:val="center"/>
          </w:tcPr>
          <w:p>
            <w:r>
              <w:rPr>
                <w:sz w:val="18"/>
              </w:rPr>
              <w:t>Monitoring</w:t>
            </w:r>
          </w:p>
        </w:tc>
        <w:tc>
          <w:tcPr>
            <w:tcW w:type="dxa" w:w="3360"/>
            <w:vAlign w:val="center"/>
          </w:tcPr>
          <w:p>
            <w:r>
              <w:rPr>
                <w:sz w:val="18"/>
              </w:rPr>
              <w:t>Sentry + structured logs</w:t>
            </w:r>
          </w:p>
        </w:tc>
        <w:tc>
          <w:tcPr>
            <w:tcW w:type="dxa" w:w="3360"/>
            <w:vAlign w:val="center"/>
          </w:tcPr>
          <w:p>
            <w:r>
              <w:rPr>
                <w:sz w:val="18"/>
              </w:rPr>
              <w:t>Error tracking and production observability</w:t>
            </w:r>
          </w:p>
        </w:tc>
      </w:tr>
      <w:tr>
        <w:tc>
          <w:tcPr>
            <w:tcW w:type="dxa" w:w="3360"/>
            <w:vAlign w:val="center"/>
          </w:tcPr>
          <w:p>
            <w:r>
              <w:rPr>
                <w:sz w:val="18"/>
              </w:rPr>
              <w:t>Deployment</w:t>
            </w:r>
          </w:p>
        </w:tc>
        <w:tc>
          <w:tcPr>
            <w:tcW w:type="dxa" w:w="3360"/>
            <w:vAlign w:val="center"/>
          </w:tcPr>
          <w:p>
            <w:r>
              <w:rPr>
                <w:sz w:val="18"/>
              </w:rPr>
              <w:t>Docker + managed infrastructure</w:t>
            </w:r>
          </w:p>
        </w:tc>
        <w:tc>
          <w:tcPr>
            <w:tcW w:type="dxa" w:w="3360"/>
            <w:vAlign w:val="center"/>
          </w:tcPr>
          <w:p>
            <w:r>
              <w:rPr>
                <w:sz w:val="18"/>
              </w:rPr>
              <w:t>Portable and reproducible deployment</w:t>
            </w:r>
          </w:p>
        </w:tc>
      </w:tr>
    </w:tbl>
    <w:p>
      <w:pPr>
        <w:pStyle w:val="Heading1"/>
      </w:pPr>
      <w:r>
        <w:t>3. High-Level Architecture</w:t>
      </w:r>
    </w:p>
    <w:p>
      <w:r>
        <w:t>Recommended MVP architecture: a modular monolith with clear domain boundaries.</w:t>
      </w:r>
    </w:p>
    <w:tbl>
      <w:tblPr>
        <w:tblStyle w:val="TableGrid"/>
        <w:tblW w:type="auto" w:w="0"/>
        <w:jc w:val="center"/>
        <w:tblLook w:firstColumn="1" w:firstRow="1" w:lastColumn="0" w:lastRow="0" w:noHBand="0" w:noVBand="1" w:val="04A0"/>
      </w:tblPr>
      <w:tblGrid>
        <w:gridCol w:w="5040"/>
        <w:gridCol w:w="5040"/>
      </w:tblGrid>
      <w:tr>
        <w:tc>
          <w:tcPr>
            <w:tcW w:type="dxa" w:w="5040"/>
            <w:shd w:fill="DDEFEA"/>
          </w:tcPr>
          <w:p>
            <w:r>
              <w:rPr>
                <w:b/>
                <w:sz w:val="18"/>
              </w:rPr>
              <w:t>Component</w:t>
            </w:r>
          </w:p>
        </w:tc>
        <w:tc>
          <w:tcPr>
            <w:tcW w:type="dxa" w:w="5040"/>
            <w:shd w:fill="DDEFEA"/>
          </w:tcPr>
          <w:p>
            <w:r>
              <w:rPr>
                <w:b/>
                <w:sz w:val="18"/>
              </w:rPr>
              <w:t>Responsibility</w:t>
            </w:r>
          </w:p>
        </w:tc>
      </w:tr>
      <w:tr>
        <w:tc>
          <w:tcPr>
            <w:tcW w:type="dxa" w:w="5040"/>
            <w:vAlign w:val="center"/>
          </w:tcPr>
          <w:p>
            <w:r>
              <w:rPr>
                <w:sz w:val="18"/>
              </w:rPr>
              <w:t>Next.js application</w:t>
            </w:r>
          </w:p>
        </w:tc>
        <w:tc>
          <w:tcPr>
            <w:tcW w:type="dxa" w:w="5040"/>
            <w:vAlign w:val="center"/>
          </w:tcPr>
          <w:p>
            <w:r>
              <w:rPr>
                <w:sz w:val="18"/>
              </w:rPr>
              <w:t>Role dashboards, public pages, authenticated UI and API/server actions</w:t>
            </w:r>
          </w:p>
        </w:tc>
      </w:tr>
      <w:tr>
        <w:tc>
          <w:tcPr>
            <w:tcW w:type="dxa" w:w="5040"/>
            <w:vAlign w:val="center"/>
          </w:tcPr>
          <w:p>
            <w:r>
              <w:rPr>
                <w:sz w:val="18"/>
              </w:rPr>
              <w:t>Domain services</w:t>
            </w:r>
          </w:p>
        </w:tc>
        <w:tc>
          <w:tcPr>
            <w:tcW w:type="dxa" w:w="5040"/>
            <w:vAlign w:val="center"/>
          </w:tcPr>
          <w:p>
            <w:r>
              <w:rPr>
                <w:sz w:val="18"/>
              </w:rPr>
              <w:t>Business rules for patients, facilities, referrals, inventory, diagnostics, tasks, alerts and approvals</w:t>
            </w:r>
          </w:p>
        </w:tc>
      </w:tr>
      <w:tr>
        <w:tc>
          <w:tcPr>
            <w:tcW w:type="dxa" w:w="5040"/>
            <w:vAlign w:val="center"/>
          </w:tcPr>
          <w:p>
            <w:r>
              <w:rPr>
                <w:sz w:val="18"/>
              </w:rPr>
              <w:t>PostgreSQL</w:t>
            </w:r>
          </w:p>
        </w:tc>
        <w:tc>
          <w:tcPr>
            <w:tcW w:type="dxa" w:w="5040"/>
            <w:vAlign w:val="center"/>
          </w:tcPr>
          <w:p>
            <w:r>
              <w:rPr>
                <w:sz w:val="18"/>
              </w:rPr>
              <w:t>System of record</w:t>
            </w:r>
          </w:p>
        </w:tc>
      </w:tr>
      <w:tr>
        <w:tc>
          <w:tcPr>
            <w:tcW w:type="dxa" w:w="5040"/>
            <w:vAlign w:val="center"/>
          </w:tcPr>
          <w:p>
            <w:r>
              <w:rPr>
                <w:sz w:val="18"/>
              </w:rPr>
              <w:t>Prisma</w:t>
            </w:r>
          </w:p>
        </w:tc>
        <w:tc>
          <w:tcPr>
            <w:tcW w:type="dxa" w:w="5040"/>
            <w:vAlign w:val="center"/>
          </w:tcPr>
          <w:p>
            <w:r>
              <w:rPr>
                <w:sz w:val="18"/>
              </w:rPr>
              <w:t>Database abstraction, schema and migrations</w:t>
            </w:r>
          </w:p>
        </w:tc>
      </w:tr>
      <w:tr>
        <w:tc>
          <w:tcPr>
            <w:tcW w:type="dxa" w:w="5040"/>
            <w:vAlign w:val="center"/>
          </w:tcPr>
          <w:p>
            <w:r>
              <w:rPr>
                <w:sz w:val="18"/>
              </w:rPr>
              <w:t>Redis</w:t>
            </w:r>
          </w:p>
        </w:tc>
        <w:tc>
          <w:tcPr>
            <w:tcW w:type="dxa" w:w="5040"/>
            <w:vAlign w:val="center"/>
          </w:tcPr>
          <w:p>
            <w:r>
              <w:rPr>
                <w:sz w:val="18"/>
              </w:rPr>
              <w:t>Caching, queues, rate limits and ephemeral coordination</w:t>
            </w:r>
          </w:p>
        </w:tc>
      </w:tr>
      <w:tr>
        <w:tc>
          <w:tcPr>
            <w:tcW w:type="dxa" w:w="5040"/>
            <w:vAlign w:val="center"/>
          </w:tcPr>
          <w:p>
            <w:r>
              <w:rPr>
                <w:sz w:val="18"/>
              </w:rPr>
              <w:t>BullMQ workers</w:t>
            </w:r>
          </w:p>
        </w:tc>
        <w:tc>
          <w:tcPr>
            <w:tcW w:type="dxa" w:w="5040"/>
            <w:vAlign w:val="center"/>
          </w:tcPr>
          <w:p>
            <w:r>
              <w:rPr>
                <w:sz w:val="18"/>
              </w:rPr>
              <w:t>Background processing</w:t>
            </w:r>
          </w:p>
        </w:tc>
      </w:tr>
      <w:tr>
        <w:tc>
          <w:tcPr>
            <w:tcW w:type="dxa" w:w="5040"/>
            <w:vAlign w:val="center"/>
          </w:tcPr>
          <w:p>
            <w:r>
              <w:rPr>
                <w:sz w:val="18"/>
              </w:rPr>
              <w:t>IndexedDB/Dexie</w:t>
            </w:r>
          </w:p>
        </w:tc>
        <w:tc>
          <w:tcPr>
            <w:tcW w:type="dxa" w:w="5040"/>
            <w:vAlign w:val="center"/>
          </w:tcPr>
          <w:p>
            <w:r>
              <w:rPr>
                <w:sz w:val="18"/>
              </w:rPr>
              <w:t>Offline-first local field data</w:t>
            </w:r>
          </w:p>
        </w:tc>
      </w:tr>
      <w:tr>
        <w:tc>
          <w:tcPr>
            <w:tcW w:type="dxa" w:w="5040"/>
            <w:vAlign w:val="center"/>
          </w:tcPr>
          <w:p>
            <w:r>
              <w:rPr>
                <w:sz w:val="18"/>
              </w:rPr>
              <w:t>Object storage</w:t>
            </w:r>
          </w:p>
        </w:tc>
        <w:tc>
          <w:tcPr>
            <w:tcW w:type="dxa" w:w="5040"/>
            <w:vAlign w:val="center"/>
          </w:tcPr>
          <w:p>
            <w:r>
              <w:rPr>
                <w:sz w:val="18"/>
              </w:rPr>
              <w:t>Binary/document storage</w:t>
            </w:r>
          </w:p>
        </w:tc>
      </w:tr>
      <w:tr>
        <w:tc>
          <w:tcPr>
            <w:tcW w:type="dxa" w:w="5040"/>
            <w:vAlign w:val="center"/>
          </w:tcPr>
          <w:p>
            <w:r>
              <w:rPr>
                <w:sz w:val="18"/>
              </w:rPr>
              <w:t>External providers</w:t>
            </w:r>
          </w:p>
        </w:tc>
        <w:tc>
          <w:tcPr>
            <w:tcW w:type="dxa" w:w="5040"/>
            <w:vAlign w:val="center"/>
          </w:tcPr>
          <w:p>
            <w:r>
              <w:rPr>
                <w:sz w:val="18"/>
              </w:rPr>
              <w:t>OTP, SMS, push and approved integrations</w:t>
            </w:r>
          </w:p>
        </w:tc>
      </w:tr>
    </w:tbl>
    <w:p>
      <w:pPr>
        <w:pStyle w:val="Heading1"/>
      </w:pPr>
      <w:r>
        <w:t>4. Application Structure</w:t>
      </w:r>
    </w:p>
    <w:p>
      <w:r>
        <w:t>Do not create a separate frontend/backend project for every role. Use one application with role-specific route groups and shared domains.</w:t>
      </w:r>
    </w:p>
    <w:p>
      <w:pPr>
        <w:pStyle w:val="ListBullet"/>
        <w:spacing w:after="40"/>
      </w:pPr>
      <w:r>
        <w:t>Public: landing, public information, authentication.</w:t>
      </w:r>
    </w:p>
    <w:p>
      <w:pPr>
        <w:pStyle w:val="ListBullet"/>
        <w:spacing w:after="40"/>
      </w:pPr>
      <w:r>
        <w:t>Patient: patient dashboard and personal care workflows.</w:t>
      </w:r>
    </w:p>
    <w:p>
      <w:pPr>
        <w:pStyle w:val="ListBullet"/>
        <w:spacing w:after="40"/>
      </w:pPr>
      <w:r>
        <w:t>ASHA: field task queue and offline workflows.</w:t>
      </w:r>
    </w:p>
    <w:p>
      <w:pPr>
        <w:pStyle w:val="ListBullet"/>
        <w:spacing w:after="40"/>
      </w:pPr>
      <w:r>
        <w:t>CHO/MO: facility clinical coordination.</w:t>
      </w:r>
    </w:p>
    <w:p>
      <w:pPr>
        <w:pStyle w:val="ListBullet"/>
        <w:spacing w:after="40"/>
      </w:pPr>
      <w:r>
        <w:t>Doctor/Specialist: clinical consultation and referral workbench.</w:t>
      </w:r>
    </w:p>
    <w:p>
      <w:pPr>
        <w:pStyle w:val="ListBullet"/>
        <w:spacing w:after="40"/>
      </w:pPr>
      <w:r>
        <w:t>Pharmacist: pharmacy/inventory operations.</w:t>
      </w:r>
    </w:p>
    <w:p>
      <w:pPr>
        <w:pStyle w:val="ListBullet"/>
        <w:spacing w:after="40"/>
      </w:pPr>
      <w:r>
        <w:t>Lab Technician: diagnostic operations.</w:t>
      </w:r>
    </w:p>
    <w:p>
      <w:pPr>
        <w:pStyle w:val="ListBullet"/>
        <w:spacing w:after="40"/>
      </w:pPr>
      <w:r>
        <w:t>Facility Owner: facility command center and staff/resource management.</w:t>
      </w:r>
    </w:p>
    <w:p>
      <w:pPr>
        <w:pStyle w:val="ListBullet"/>
        <w:spacing w:after="40"/>
      </w:pPr>
      <w:r>
        <w:t>DHO: district monitoring and accountability.</w:t>
      </w:r>
    </w:p>
    <w:p>
      <w:pPr>
        <w:pStyle w:val="ListBullet"/>
        <w:spacing w:after="40"/>
      </w:pPr>
      <w:r>
        <w:t>System Administration: restricted technical administration.</w:t>
      </w:r>
    </w:p>
    <w:p>
      <w:pPr>
        <w:pStyle w:val="Heading1"/>
      </w:pPr>
      <w:r>
        <w:t>5. Suggested Repository Structure</w:t>
      </w:r>
    </w:p>
    <w:p>
      <w:r>
        <w:t>The following is a recommended logical structure; exact folders can evolve as implementation begins.</w:t>
      </w:r>
    </w:p>
    <w:p>
      <w:r>
        <w:rPr>
          <w:rFonts w:ascii="Consolas" w:hAnsi="Consolas"/>
          <w:sz w:val="17"/>
        </w:rPr>
        <w:t>setu/</w:t>
        <w:br/>
        <w:t>├── app/</w:t>
        <w:br/>
        <w:t>│   ├── (public)/</w:t>
        <w:br/>
        <w:t>│   ├── login/</w:t>
        <w:br/>
        <w:t>│   ├── patient/</w:t>
        <w:br/>
        <w:t>│   ├── asha/</w:t>
        <w:br/>
        <w:t>│   ├── cho/</w:t>
        <w:br/>
        <w:t>│   ├── doctor/</w:t>
        <w:br/>
        <w:t>│   ├── specialist/</w:t>
        <w:br/>
        <w:t>│   ├── pharmacist/</w:t>
        <w:br/>
        <w:t>│   ├── lab/</w:t>
        <w:br/>
        <w:t>│   ├── facility/</w:t>
        <w:br/>
        <w:t>│   └── dho/</w:t>
        <w:br/>
        <w:t>├── components/</w:t>
        <w:br/>
        <w:t>│   ├── ui/</w:t>
        <w:br/>
        <w:t>│   ├── navigation/</w:t>
        <w:br/>
        <w:t>│   ├── charts/</w:t>
        <w:br/>
        <w:t>│   └── shared/</w:t>
        <w:br/>
        <w:t>├── features/</w:t>
        <w:br/>
        <w:t>│   ├── auth/</w:t>
        <w:br/>
        <w:t>│   ├── patients/</w:t>
        <w:br/>
        <w:t>│   ├── referrals/</w:t>
        <w:br/>
        <w:t>│   ├── facilities/</w:t>
        <w:br/>
        <w:t>│   ├── pharmacy/</w:t>
        <w:br/>
        <w:t>│   ├── laboratory/</w:t>
        <w:br/>
        <w:t>│   ├── alerts/</w:t>
        <w:br/>
        <w:t>│   ├── tasks/</w:t>
        <w:br/>
        <w:t>│   ├── requirements/</w:t>
        <w:br/>
        <w:t>│   ├── content/</w:t>
        <w:br/>
        <w:t>│   └── notifications/</w:t>
        <w:br/>
        <w:t>├── lib/</w:t>
        <w:br/>
        <w:t>│   ├── auth/</w:t>
        <w:br/>
        <w:t>│   ├── permissions/</w:t>
        <w:br/>
        <w:t>│   ├── db/</w:t>
        <w:br/>
        <w:t>│   ├── sync/</w:t>
        <w:br/>
        <w:t>│   ├── storage/</w:t>
        <w:br/>
        <w:t>│   └── integrations/</w:t>
        <w:br/>
        <w:t>├── prisma/</w:t>
        <w:br/>
        <w:t>├── workers/</w:t>
        <w:br/>
        <w:t>└── tests/</w:t>
      </w:r>
    </w:p>
    <w:p>
      <w:pPr>
        <w:pStyle w:val="Heading1"/>
      </w:pPr>
      <w:r>
        <w:t>6. Database Architecture</w:t>
      </w:r>
    </w:p>
    <w:p>
      <w:r>
        <w:t>PostgreSQL is the system of record because Setu contains strongly related entities and transactional workflows.</w:t>
      </w:r>
    </w:p>
    <w:p>
      <w:pPr>
        <w:pStyle w:val="Heading2"/>
      </w:pPr>
      <w:r>
        <w:t>Core entities</w:t>
      </w:r>
    </w:p>
    <w:p>
      <w:pPr>
        <w:pStyle w:val="ListBullet"/>
        <w:spacing w:after="40"/>
      </w:pPr>
      <w:r>
        <w:t>User / Identity</w:t>
      </w:r>
    </w:p>
    <w:p>
      <w:pPr>
        <w:pStyle w:val="ListBullet"/>
        <w:spacing w:after="40"/>
      </w:pPr>
      <w:r>
        <w:t>Professional Credential</w:t>
      </w:r>
    </w:p>
    <w:p>
      <w:pPr>
        <w:pStyle w:val="ListBullet"/>
        <w:spacing w:after="40"/>
      </w:pPr>
      <w:r>
        <w:t>Role Assignment</w:t>
      </w:r>
    </w:p>
    <w:p>
      <w:pPr>
        <w:pStyle w:val="ListBullet"/>
        <w:spacing w:after="40"/>
      </w:pPr>
      <w:r>
        <w:t>Permission / Scope</w:t>
      </w:r>
    </w:p>
    <w:p>
      <w:pPr>
        <w:pStyle w:val="ListBullet"/>
        <w:spacing w:after="40"/>
      </w:pPr>
      <w:r>
        <w:t>Facility</w:t>
      </w:r>
    </w:p>
    <w:p>
      <w:pPr>
        <w:pStyle w:val="ListBullet"/>
        <w:spacing w:after="40"/>
      </w:pPr>
      <w:r>
        <w:t>Department / Service</w:t>
      </w:r>
    </w:p>
    <w:p>
      <w:pPr>
        <w:pStyle w:val="ListBullet"/>
        <w:spacing w:after="40"/>
      </w:pPr>
      <w:r>
        <w:t>Staff Assignment</w:t>
      </w:r>
    </w:p>
    <w:p>
      <w:pPr>
        <w:pStyle w:val="ListBullet"/>
        <w:spacing w:after="40"/>
      </w:pPr>
      <w:r>
        <w:t>Patient</w:t>
      </w:r>
    </w:p>
    <w:p>
      <w:pPr>
        <w:pStyle w:val="ListBullet"/>
        <w:spacing w:after="40"/>
      </w:pPr>
      <w:r>
        <w:t>Household</w:t>
      </w:r>
    </w:p>
    <w:p>
      <w:pPr>
        <w:pStyle w:val="ListBullet"/>
        <w:spacing w:after="40"/>
      </w:pPr>
      <w:r>
        <w:t>Visit</w:t>
      </w:r>
    </w:p>
    <w:p>
      <w:pPr>
        <w:pStyle w:val="ListBullet"/>
        <w:spacing w:after="40"/>
      </w:pPr>
      <w:r>
        <w:t>Appointment</w:t>
      </w:r>
    </w:p>
    <w:p>
      <w:pPr>
        <w:pStyle w:val="ListBullet"/>
        <w:spacing w:after="40"/>
      </w:pPr>
      <w:r>
        <w:t>Referral</w:t>
      </w:r>
    </w:p>
    <w:p>
      <w:pPr>
        <w:pStyle w:val="ListBullet"/>
        <w:spacing w:after="40"/>
      </w:pPr>
      <w:r>
        <w:t>Clinical Record</w:t>
      </w:r>
    </w:p>
    <w:p>
      <w:pPr>
        <w:pStyle w:val="ListBullet"/>
        <w:spacing w:after="40"/>
      </w:pPr>
      <w:r>
        <w:t>Prescription</w:t>
      </w:r>
    </w:p>
    <w:p>
      <w:pPr>
        <w:pStyle w:val="ListBullet"/>
        <w:spacing w:after="40"/>
      </w:pPr>
      <w:r>
        <w:t>Diagnostic Order</w:t>
      </w:r>
    </w:p>
    <w:p>
      <w:pPr>
        <w:pStyle w:val="ListBullet"/>
        <w:spacing w:after="40"/>
      </w:pPr>
      <w:r>
        <w:t>Diagnostic Result</w:t>
      </w:r>
    </w:p>
    <w:p>
      <w:pPr>
        <w:pStyle w:val="ListBullet"/>
        <w:spacing w:after="40"/>
      </w:pPr>
      <w:r>
        <w:t>Medicine</w:t>
      </w:r>
    </w:p>
    <w:p>
      <w:pPr>
        <w:pStyle w:val="ListBullet"/>
        <w:spacing w:after="40"/>
      </w:pPr>
      <w:r>
        <w:t>Inventory Item</w:t>
      </w:r>
    </w:p>
    <w:p>
      <w:pPr>
        <w:pStyle w:val="ListBullet"/>
        <w:spacing w:after="40"/>
      </w:pPr>
      <w:r>
        <w:t>Stock Movement</w:t>
      </w:r>
    </w:p>
    <w:p>
      <w:pPr>
        <w:pStyle w:val="ListBullet"/>
        <w:spacing w:after="40"/>
      </w:pPr>
      <w:r>
        <w:t>Alert</w:t>
      </w:r>
    </w:p>
    <w:p>
      <w:pPr>
        <w:pStyle w:val="ListBullet"/>
        <w:spacing w:after="40"/>
      </w:pPr>
      <w:r>
        <w:t>Incident</w:t>
      </w:r>
    </w:p>
    <w:p>
      <w:pPr>
        <w:pStyle w:val="ListBullet"/>
        <w:spacing w:after="40"/>
      </w:pPr>
      <w:r>
        <w:t>Requirement / Resource Request</w:t>
      </w:r>
    </w:p>
    <w:p>
      <w:pPr>
        <w:pStyle w:val="ListBullet"/>
        <w:spacing w:after="40"/>
      </w:pPr>
      <w:r>
        <w:t>Task</w:t>
      </w:r>
    </w:p>
    <w:p>
      <w:pPr>
        <w:pStyle w:val="ListBullet"/>
        <w:spacing w:after="40"/>
      </w:pPr>
      <w:r>
        <w:t>Instruction</w:t>
      </w:r>
    </w:p>
    <w:p>
      <w:pPr>
        <w:pStyle w:val="ListBullet"/>
        <w:spacing w:after="40"/>
      </w:pPr>
      <w:r>
        <w:t>Notification</w:t>
      </w:r>
    </w:p>
    <w:p>
      <w:pPr>
        <w:pStyle w:val="ListBullet"/>
        <w:spacing w:after="40"/>
      </w:pPr>
      <w:r>
        <w:t>Health Content</w:t>
      </w:r>
    </w:p>
    <w:p>
      <w:pPr>
        <w:pStyle w:val="ListBullet"/>
        <w:spacing w:after="40"/>
      </w:pPr>
      <w:r>
        <w:t>Approval Request</w:t>
      </w:r>
    </w:p>
    <w:p>
      <w:pPr>
        <w:pStyle w:val="ListBullet"/>
        <w:spacing w:after="40"/>
      </w:pPr>
      <w:r>
        <w:t>Escalation</w:t>
      </w:r>
    </w:p>
    <w:p>
      <w:pPr>
        <w:pStyle w:val="ListBullet"/>
        <w:spacing w:after="40"/>
      </w:pPr>
      <w:r>
        <w:t>Audit Event</w:t>
      </w:r>
    </w:p>
    <w:p>
      <w:pPr>
        <w:pStyle w:val="ListBullet"/>
        <w:spacing w:after="40"/>
      </w:pPr>
      <w:r>
        <w:t>Offline Sync Mutation</w:t>
      </w:r>
    </w:p>
    <w:p>
      <w:pPr>
        <w:pStyle w:val="Heading1"/>
      </w:pPr>
      <w:r>
        <w:t>7. Authorization Architecture</w:t>
      </w:r>
    </w:p>
    <w:p>
      <w:r>
        <w:t>Authorization is one of the highest-risk parts of Setu. Role names alone are insufficient. Every protected operation should be evaluated against identity, role, scope, resource and action.</w:t>
      </w:r>
    </w:p>
    <w:p>
      <w:pPr>
        <w:jc w:val="center"/>
      </w:pPr>
      <w:r>
        <w:rPr>
          <w:b/>
          <w:sz w:val="26"/>
        </w:rPr>
        <w:t>CAN USER + ROLE + SCOPE + ACTION + RESOURCE = ALLOWED?</w:t>
      </w:r>
    </w:p>
    <w:tbl>
      <w:tblPr>
        <w:tblStyle w:val="TableGrid"/>
        <w:tblW w:type="auto" w:w="0"/>
        <w:jc w:val="center"/>
        <w:tblLook w:firstColumn="1" w:firstRow="1" w:lastColumn="0" w:lastRow="0" w:noHBand="0" w:noVBand="1" w:val="04A0"/>
      </w:tblPr>
      <w:tblGrid>
        <w:gridCol w:w="5040"/>
        <w:gridCol w:w="5040"/>
      </w:tblGrid>
      <w:tr>
        <w:tc>
          <w:tcPr>
            <w:tcW w:type="dxa" w:w="5040"/>
            <w:shd w:fill="DDEFEA"/>
          </w:tcPr>
          <w:p>
            <w:r>
              <w:rPr>
                <w:b/>
                <w:sz w:val="18"/>
              </w:rPr>
              <w:t>Example</w:t>
            </w:r>
          </w:p>
        </w:tc>
        <w:tc>
          <w:tcPr>
            <w:tcW w:type="dxa" w:w="5040"/>
            <w:shd w:fill="DDEFEA"/>
          </w:tcPr>
          <w:p>
            <w:r>
              <w:rPr>
                <w:b/>
                <w:sz w:val="18"/>
              </w:rPr>
              <w:t>Scope</w:t>
            </w:r>
          </w:p>
        </w:tc>
      </w:tr>
      <w:tr>
        <w:tc>
          <w:tcPr>
            <w:tcW w:type="dxa" w:w="5040"/>
            <w:vAlign w:val="center"/>
          </w:tcPr>
          <w:p>
            <w:r>
              <w:rPr>
                <w:sz w:val="18"/>
              </w:rPr>
              <w:t>DHO</w:t>
            </w:r>
          </w:p>
        </w:tc>
        <w:tc>
          <w:tcPr>
            <w:tcW w:type="dxa" w:w="5040"/>
            <w:vAlign w:val="center"/>
          </w:tcPr>
          <w:p>
            <w:r>
              <w:rPr>
                <w:sz w:val="18"/>
              </w:rPr>
              <w:t>District-wide authorized facilities</w:t>
            </w:r>
          </w:p>
        </w:tc>
      </w:tr>
      <w:tr>
        <w:tc>
          <w:tcPr>
            <w:tcW w:type="dxa" w:w="5040"/>
            <w:vAlign w:val="center"/>
          </w:tcPr>
          <w:p>
            <w:r>
              <w:rPr>
                <w:sz w:val="18"/>
              </w:rPr>
              <w:t>Facility Owner</w:t>
            </w:r>
          </w:p>
        </w:tc>
        <w:tc>
          <w:tcPr>
            <w:tcW w:type="dxa" w:w="5040"/>
            <w:vAlign w:val="center"/>
          </w:tcPr>
          <w:p>
            <w:r>
              <w:rPr>
                <w:sz w:val="18"/>
              </w:rPr>
              <w:t>Assigned facility</w:t>
            </w:r>
          </w:p>
        </w:tc>
      </w:tr>
      <w:tr>
        <w:tc>
          <w:tcPr>
            <w:tcW w:type="dxa" w:w="5040"/>
            <w:vAlign w:val="center"/>
          </w:tcPr>
          <w:p>
            <w:r>
              <w:rPr>
                <w:sz w:val="18"/>
              </w:rPr>
              <w:t>ASHA</w:t>
            </w:r>
          </w:p>
        </w:tc>
        <w:tc>
          <w:tcPr>
            <w:tcW w:type="dxa" w:w="5040"/>
            <w:vAlign w:val="center"/>
          </w:tcPr>
          <w:p>
            <w:r>
              <w:rPr>
                <w:sz w:val="18"/>
              </w:rPr>
              <w:t>Assigned households/villages</w:t>
            </w:r>
          </w:p>
        </w:tc>
      </w:tr>
      <w:tr>
        <w:tc>
          <w:tcPr>
            <w:tcW w:type="dxa" w:w="5040"/>
            <w:vAlign w:val="center"/>
          </w:tcPr>
          <w:p>
            <w:r>
              <w:rPr>
                <w:sz w:val="18"/>
              </w:rPr>
              <w:t>Specialist</w:t>
            </w:r>
          </w:p>
        </w:tc>
        <w:tc>
          <w:tcPr>
            <w:tcW w:type="dxa" w:w="5040"/>
            <w:vAlign w:val="center"/>
          </w:tcPr>
          <w:p>
            <w:r>
              <w:rPr>
                <w:sz w:val="18"/>
              </w:rPr>
              <w:t>Authorized specialty + assigned/referred cases</w:t>
            </w:r>
          </w:p>
        </w:tc>
      </w:tr>
      <w:tr>
        <w:tc>
          <w:tcPr>
            <w:tcW w:type="dxa" w:w="5040"/>
            <w:vAlign w:val="center"/>
          </w:tcPr>
          <w:p>
            <w:r>
              <w:rPr>
                <w:sz w:val="18"/>
              </w:rPr>
              <w:t>Pharmacist</w:t>
            </w:r>
          </w:p>
        </w:tc>
        <w:tc>
          <w:tcPr>
            <w:tcW w:type="dxa" w:w="5040"/>
            <w:vAlign w:val="center"/>
          </w:tcPr>
          <w:p>
            <w:r>
              <w:rPr>
                <w:sz w:val="18"/>
              </w:rPr>
              <w:t>Assigned pharmacy/inventory</w:t>
            </w:r>
          </w:p>
        </w:tc>
      </w:tr>
      <w:tr>
        <w:tc>
          <w:tcPr>
            <w:tcW w:type="dxa" w:w="5040"/>
            <w:vAlign w:val="center"/>
          </w:tcPr>
          <w:p>
            <w:r>
              <w:rPr>
                <w:sz w:val="18"/>
              </w:rPr>
              <w:t>Lab Technician</w:t>
            </w:r>
          </w:p>
        </w:tc>
        <w:tc>
          <w:tcPr>
            <w:tcW w:type="dxa" w:w="5040"/>
            <w:vAlign w:val="center"/>
          </w:tcPr>
          <w:p>
            <w:r>
              <w:rPr>
                <w:sz w:val="18"/>
              </w:rPr>
              <w:t>Assigned laboratory</w:t>
            </w:r>
          </w:p>
        </w:tc>
      </w:tr>
      <w:tr>
        <w:tc>
          <w:tcPr>
            <w:tcW w:type="dxa" w:w="5040"/>
            <w:vAlign w:val="center"/>
          </w:tcPr>
          <w:p>
            <w:r>
              <w:rPr>
                <w:sz w:val="18"/>
              </w:rPr>
              <w:t>Patient</w:t>
            </w:r>
          </w:p>
        </w:tc>
        <w:tc>
          <w:tcPr>
            <w:tcW w:type="dxa" w:w="5040"/>
            <w:vAlign w:val="center"/>
          </w:tcPr>
          <w:p>
            <w:r>
              <w:rPr>
                <w:sz w:val="18"/>
              </w:rPr>
              <w:t>Own records and permitted self-service resources</w:t>
            </w:r>
          </w:p>
        </w:tc>
      </w:tr>
    </w:tbl>
    <w:p>
      <w:r>
        <w:t>Never use client-side visibility as the security boundary. Server-side checks are mandatory.</w:t>
      </w:r>
    </w:p>
    <w:p>
      <w:pPr>
        <w:pStyle w:val="Heading1"/>
      </w:pPr>
      <w:r>
        <w:t>8. Authentication Architecture</w:t>
      </w:r>
    </w:p>
    <w:p>
      <w:pPr>
        <w:pStyle w:val="Heading2"/>
      </w:pPr>
      <w:r>
        <w:t>Patient</w:t>
      </w:r>
    </w:p>
    <w:p>
      <w:pPr>
        <w:pStyle w:val="ListBullet"/>
        <w:spacing w:after="40"/>
      </w:pPr>
      <w:r>
        <w:t>Enter mobile number</w:t>
      </w:r>
    </w:p>
    <w:p>
      <w:pPr>
        <w:pStyle w:val="ListBullet"/>
        <w:spacing w:after="40"/>
      </w:pPr>
      <w:r>
        <w:t>Receive OTP</w:t>
      </w:r>
    </w:p>
    <w:p>
      <w:pPr>
        <w:pStyle w:val="ListBullet"/>
        <w:spacing w:after="40"/>
      </w:pPr>
      <w:r>
        <w:t>Verify OTP</w:t>
      </w:r>
    </w:p>
    <w:p>
      <w:pPr>
        <w:pStyle w:val="ListBullet"/>
        <w:spacing w:after="40"/>
      </w:pPr>
      <w:r>
        <w:t>Existing user → sign in</w:t>
      </w:r>
    </w:p>
    <w:p>
      <w:pPr>
        <w:pStyle w:val="ListBullet"/>
        <w:spacing w:after="40"/>
      </w:pPr>
      <w:r>
        <w:t>New user → minimal profile setup</w:t>
      </w:r>
    </w:p>
    <w:p>
      <w:pPr>
        <w:pStyle w:val="ListBullet"/>
        <w:spacing w:after="40"/>
      </w:pPr>
      <w:r>
        <w:t>Enter patient dashboard</w:t>
      </w:r>
    </w:p>
    <w:p>
      <w:pPr>
        <w:pStyle w:val="Heading2"/>
      </w:pPr>
      <w:r>
        <w:t>Professional</w:t>
      </w:r>
    </w:p>
    <w:p>
      <w:pPr>
        <w:pStyle w:val="ListBullet"/>
        <w:spacing w:after="40"/>
      </w:pPr>
      <w:r>
        <w:t>Enter registered mobile + professional/employee identifier.</w:t>
      </w:r>
    </w:p>
    <w:p>
      <w:pPr>
        <w:pStyle w:val="ListBullet"/>
        <w:spacing w:after="40"/>
      </w:pPr>
      <w:r>
        <w:t>Verify OTP.</w:t>
      </w:r>
    </w:p>
    <w:p>
      <w:pPr>
        <w:pStyle w:val="ListBullet"/>
        <w:spacing w:after="40"/>
      </w:pPr>
      <w:r>
        <w:t>Validate professional credential against the configured verification source/workflow.</w:t>
      </w:r>
    </w:p>
    <w:p>
      <w:pPr>
        <w:pStyle w:val="ListBullet"/>
        <w:spacing w:after="40"/>
      </w:pPr>
      <w:r>
        <w:t>Resolve authorized role, facility and scope.</w:t>
      </w:r>
    </w:p>
    <w:p>
      <w:pPr>
        <w:pStyle w:val="ListBullet"/>
        <w:spacing w:after="40"/>
      </w:pPr>
      <w:r>
        <w:t>If verified → activate authorized dashboard.</w:t>
      </w:r>
    </w:p>
    <w:p>
      <w:pPr>
        <w:pStyle w:val="ListBullet"/>
        <w:spacing w:after="40"/>
      </w:pPr>
      <w:r>
        <w:t>If not verified → create review application; do not grant privileged access.</w:t>
      </w:r>
    </w:p>
    <w:p>
      <w:pPr>
        <w:pStyle w:val="Heading1"/>
      </w:pPr>
      <w:r>
        <w:t>9. Offline-First Architecture</w:t>
      </w:r>
    </w:p>
    <w:p>
      <w:r>
        <w:t>Offline behavior is a product requirement, particularly for ASHA workers.</w:t>
      </w:r>
    </w:p>
    <w:tbl>
      <w:tblPr>
        <w:tblStyle w:val="TableGrid"/>
        <w:tblW w:type="auto" w:w="0"/>
        <w:jc w:val="center"/>
        <w:tblLook w:firstColumn="1" w:firstRow="1" w:lastColumn="0" w:lastRow="0" w:noHBand="0" w:noVBand="1" w:val="04A0"/>
      </w:tblPr>
      <w:tblGrid>
        <w:gridCol w:w="5040"/>
        <w:gridCol w:w="5040"/>
      </w:tblGrid>
      <w:tr>
        <w:tc>
          <w:tcPr>
            <w:tcW w:type="dxa" w:w="5040"/>
            <w:shd w:fill="DDEFEA"/>
          </w:tcPr>
          <w:p>
            <w:r>
              <w:rPr>
                <w:b/>
                <w:sz w:val="18"/>
              </w:rPr>
              <w:t>State</w:t>
            </w:r>
          </w:p>
        </w:tc>
        <w:tc>
          <w:tcPr>
            <w:tcW w:type="dxa" w:w="5040"/>
            <w:shd w:fill="DDEFEA"/>
          </w:tcPr>
          <w:p>
            <w:r>
              <w:rPr>
                <w:b/>
                <w:sz w:val="18"/>
              </w:rPr>
              <w:t>Behavior</w:t>
            </w:r>
          </w:p>
        </w:tc>
      </w:tr>
      <w:tr>
        <w:tc>
          <w:tcPr>
            <w:tcW w:type="dxa" w:w="5040"/>
            <w:vAlign w:val="center"/>
          </w:tcPr>
          <w:p>
            <w:r>
              <w:rPr>
                <w:sz w:val="18"/>
              </w:rPr>
              <w:t>Online</w:t>
            </w:r>
          </w:p>
        </w:tc>
        <w:tc>
          <w:tcPr>
            <w:tcW w:type="dxa" w:w="5040"/>
            <w:vAlign w:val="center"/>
          </w:tcPr>
          <w:p>
            <w:r>
              <w:rPr>
                <w:sz w:val="18"/>
              </w:rPr>
              <w:t>Normal API operation; sync status visible where relevant</w:t>
            </w:r>
          </w:p>
        </w:tc>
      </w:tr>
      <w:tr>
        <w:tc>
          <w:tcPr>
            <w:tcW w:type="dxa" w:w="5040"/>
            <w:vAlign w:val="center"/>
          </w:tcPr>
          <w:p>
            <w:r>
              <w:rPr>
                <w:sz w:val="18"/>
              </w:rPr>
              <w:t>Offline</w:t>
            </w:r>
          </w:p>
        </w:tc>
        <w:tc>
          <w:tcPr>
            <w:tcW w:type="dxa" w:w="5040"/>
            <w:vAlign w:val="center"/>
          </w:tcPr>
          <w:p>
            <w:r>
              <w:rPr>
                <w:sz w:val="18"/>
              </w:rPr>
              <w:t>Existing authorized cached workflow remains usable</w:t>
            </w:r>
          </w:p>
        </w:tc>
      </w:tr>
      <w:tr>
        <w:tc>
          <w:tcPr>
            <w:tcW w:type="dxa" w:w="5040"/>
            <w:vAlign w:val="center"/>
          </w:tcPr>
          <w:p>
            <w:r>
              <w:rPr>
                <w:sz w:val="18"/>
              </w:rPr>
              <w:t>Offline mutation</w:t>
            </w:r>
          </w:p>
        </w:tc>
        <w:tc>
          <w:tcPr>
            <w:tcW w:type="dxa" w:w="5040"/>
            <w:vAlign w:val="center"/>
          </w:tcPr>
          <w:p>
            <w:r>
              <w:rPr>
                <w:sz w:val="18"/>
              </w:rPr>
              <w:t>Write permitted action to IndexedDB and update UI optimistically</w:t>
            </w:r>
          </w:p>
        </w:tc>
      </w:tr>
      <w:tr>
        <w:tc>
          <w:tcPr>
            <w:tcW w:type="dxa" w:w="5040"/>
            <w:vAlign w:val="center"/>
          </w:tcPr>
          <w:p>
            <w:r>
              <w:rPr>
                <w:sz w:val="18"/>
              </w:rPr>
              <w:t>Queued</w:t>
            </w:r>
          </w:p>
        </w:tc>
        <w:tc>
          <w:tcPr>
            <w:tcW w:type="dxa" w:w="5040"/>
            <w:vAlign w:val="center"/>
          </w:tcPr>
          <w:p>
            <w:r>
              <w:rPr>
                <w:sz w:val="18"/>
              </w:rPr>
              <w:t>Show record-level 'Queued for sync' state</w:t>
            </w:r>
          </w:p>
        </w:tc>
      </w:tr>
      <w:tr>
        <w:tc>
          <w:tcPr>
            <w:tcW w:type="dxa" w:w="5040"/>
            <w:vAlign w:val="center"/>
          </w:tcPr>
          <w:p>
            <w:r>
              <w:rPr>
                <w:sz w:val="18"/>
              </w:rPr>
              <w:t>Reconnect</w:t>
            </w:r>
          </w:p>
        </w:tc>
        <w:tc>
          <w:tcPr>
            <w:tcW w:type="dxa" w:w="5040"/>
            <w:vAlign w:val="center"/>
          </w:tcPr>
          <w:p>
            <w:r>
              <w:rPr>
                <w:sz w:val="18"/>
              </w:rPr>
              <w:t>Sync queue retries safely</w:t>
            </w:r>
          </w:p>
        </w:tc>
      </w:tr>
      <w:tr>
        <w:tc>
          <w:tcPr>
            <w:tcW w:type="dxa" w:w="5040"/>
            <w:vAlign w:val="center"/>
          </w:tcPr>
          <w:p>
            <w:r>
              <w:rPr>
                <w:sz w:val="18"/>
              </w:rPr>
              <w:t>Success</w:t>
            </w:r>
          </w:p>
        </w:tc>
        <w:tc>
          <w:tcPr>
            <w:tcW w:type="dxa" w:w="5040"/>
            <w:vAlign w:val="center"/>
          </w:tcPr>
          <w:p>
            <w:r>
              <w:rPr>
                <w:sz w:val="18"/>
              </w:rPr>
              <w:t>Mark local mutation synchronized</w:t>
            </w:r>
          </w:p>
        </w:tc>
      </w:tr>
      <w:tr>
        <w:tc>
          <w:tcPr>
            <w:tcW w:type="dxa" w:w="5040"/>
            <w:vAlign w:val="center"/>
          </w:tcPr>
          <w:p>
            <w:r>
              <w:rPr>
                <w:sz w:val="18"/>
              </w:rPr>
              <w:t>Conflict</w:t>
            </w:r>
          </w:p>
        </w:tc>
        <w:tc>
          <w:tcPr>
            <w:tcW w:type="dxa" w:w="5040"/>
            <w:vAlign w:val="center"/>
          </w:tcPr>
          <w:p>
            <w:r>
              <w:rPr>
                <w:sz w:val="18"/>
              </w:rPr>
              <w:t>Apply explicit domain-specific conflict resolution; never silently overwrite critical data</w:t>
            </w:r>
          </w:p>
        </w:tc>
      </w:tr>
    </w:tbl>
    <w:p>
      <w:r>
        <w:t>Use idempotency keys for offline mutations so retries do not create duplicate visits, referrals or inventory movements.</w:t>
      </w:r>
    </w:p>
    <w:p>
      <w:pPr>
        <w:pStyle w:val="Heading1"/>
      </w:pPr>
      <w:r>
        <w:t>10. PWA / Field Performance</w:t>
      </w:r>
    </w:p>
    <w:p>
      <w:pPr>
        <w:pStyle w:val="ListBullet"/>
        <w:spacing w:after="40"/>
      </w:pPr>
      <w:r>
        <w:t>Installable PWA for supported field devices.</w:t>
      </w:r>
    </w:p>
    <w:p>
      <w:pPr>
        <w:pStyle w:val="ListBullet"/>
        <w:spacing w:after="40"/>
      </w:pPr>
      <w:r>
        <w:t>Cache the application shell and only the minimum authorized offline data required.</w:t>
      </w:r>
    </w:p>
    <w:p>
      <w:pPr>
        <w:pStyle w:val="ListBullet"/>
        <w:spacing w:after="40"/>
      </w:pPr>
      <w:r>
        <w:t>Avoid unnecessary large JavaScript bundles.</w:t>
      </w:r>
    </w:p>
    <w:p>
      <w:pPr>
        <w:pStyle w:val="ListBullet"/>
        <w:spacing w:after="40"/>
      </w:pPr>
      <w:r>
        <w:t>Lazy-load data-heavy DHO analytics and non-critical modules.</w:t>
      </w:r>
    </w:p>
    <w:p>
      <w:pPr>
        <w:pStyle w:val="ListBullet"/>
        <w:spacing w:after="40"/>
      </w:pPr>
      <w:r>
        <w:t>Prefer server pagination for large tables.</w:t>
      </w:r>
    </w:p>
    <w:p>
      <w:pPr>
        <w:pStyle w:val="ListBullet"/>
        <w:spacing w:after="40"/>
      </w:pPr>
      <w:r>
        <w:t>Use skeleton states for data-heavy widgets rather than blocking spinners.</w:t>
      </w:r>
    </w:p>
    <w:p>
      <w:pPr>
        <w:pStyle w:val="ListBullet"/>
        <w:spacing w:after="40"/>
      </w:pPr>
      <w:r>
        <w:t>Design for intermittent 2G/3G and connection loss.</w:t>
      </w:r>
    </w:p>
    <w:p>
      <w:pPr>
        <w:pStyle w:val="ListBullet"/>
        <w:spacing w:after="40"/>
      </w:pPr>
      <w:r>
        <w:t>Keep primary ASHA actions at least 56×56px.</w:t>
      </w:r>
    </w:p>
    <w:p>
      <w:pPr>
        <w:pStyle w:val="Heading1"/>
      </w:pPr>
      <w:r>
        <w:t>11. Shared API / Domain Design</w:t>
      </w:r>
    </w:p>
    <w:p>
      <w:r>
        <w:t>Business logic should be organized around shared healthcare domains, not dashboards.</w:t>
      </w:r>
    </w:p>
    <w:tbl>
      <w:tblPr>
        <w:tblStyle w:val="TableGrid"/>
        <w:tblW w:type="auto" w:w="0"/>
        <w:jc w:val="center"/>
        <w:tblLook w:firstColumn="1" w:firstRow="1" w:lastColumn="0" w:lastRow="0" w:noHBand="0" w:noVBand="1" w:val="04A0"/>
      </w:tblPr>
      <w:tblGrid>
        <w:gridCol w:w="5040"/>
        <w:gridCol w:w="5040"/>
      </w:tblGrid>
      <w:tr>
        <w:tc>
          <w:tcPr>
            <w:tcW w:type="dxa" w:w="5040"/>
            <w:shd w:fill="DDEFEA"/>
          </w:tcPr>
          <w:p>
            <w:r>
              <w:rPr>
                <w:b/>
                <w:sz w:val="18"/>
              </w:rPr>
              <w:t>Domain</w:t>
            </w:r>
          </w:p>
        </w:tc>
        <w:tc>
          <w:tcPr>
            <w:tcW w:type="dxa" w:w="5040"/>
            <w:shd w:fill="DDEFEA"/>
          </w:tcPr>
          <w:p>
            <w:r>
              <w:rPr>
                <w:b/>
                <w:sz w:val="18"/>
              </w:rPr>
              <w:t>Consumers</w:t>
            </w:r>
          </w:p>
        </w:tc>
      </w:tr>
      <w:tr>
        <w:tc>
          <w:tcPr>
            <w:tcW w:type="dxa" w:w="5040"/>
            <w:vAlign w:val="center"/>
          </w:tcPr>
          <w:p>
            <w:r>
              <w:rPr>
                <w:sz w:val="18"/>
              </w:rPr>
              <w:t>Patients / Households</w:t>
            </w:r>
          </w:p>
        </w:tc>
        <w:tc>
          <w:tcPr>
            <w:tcW w:type="dxa" w:w="5040"/>
            <w:vAlign w:val="center"/>
          </w:tcPr>
          <w:p>
            <w:r>
              <w:rPr>
                <w:sz w:val="18"/>
              </w:rPr>
              <w:t>Patient, ASHA, CHO/MO, Doctor, Facility, DHO</w:t>
            </w:r>
          </w:p>
        </w:tc>
      </w:tr>
      <w:tr>
        <w:tc>
          <w:tcPr>
            <w:tcW w:type="dxa" w:w="5040"/>
            <w:vAlign w:val="center"/>
          </w:tcPr>
          <w:p>
            <w:r>
              <w:rPr>
                <w:sz w:val="18"/>
              </w:rPr>
              <w:t>Referrals</w:t>
            </w:r>
          </w:p>
        </w:tc>
        <w:tc>
          <w:tcPr>
            <w:tcW w:type="dxa" w:w="5040"/>
            <w:vAlign w:val="center"/>
          </w:tcPr>
          <w:p>
            <w:r>
              <w:rPr>
                <w:sz w:val="18"/>
              </w:rPr>
              <w:t>ASHA, CHO/MO, Doctor/Specialist, Facility, DHO</w:t>
            </w:r>
          </w:p>
        </w:tc>
      </w:tr>
      <w:tr>
        <w:tc>
          <w:tcPr>
            <w:tcW w:type="dxa" w:w="5040"/>
            <w:vAlign w:val="center"/>
          </w:tcPr>
          <w:p>
            <w:r>
              <w:rPr>
                <w:sz w:val="18"/>
              </w:rPr>
              <w:t>Pharmacy / Inventory</w:t>
            </w:r>
          </w:p>
        </w:tc>
        <w:tc>
          <w:tcPr>
            <w:tcW w:type="dxa" w:w="5040"/>
            <w:vAlign w:val="center"/>
          </w:tcPr>
          <w:p>
            <w:r>
              <w:rPr>
                <w:sz w:val="18"/>
              </w:rPr>
              <w:t>Pharmacist, Facility, DHO</w:t>
            </w:r>
          </w:p>
        </w:tc>
      </w:tr>
      <w:tr>
        <w:tc>
          <w:tcPr>
            <w:tcW w:type="dxa" w:w="5040"/>
            <w:vAlign w:val="center"/>
          </w:tcPr>
          <w:p>
            <w:r>
              <w:rPr>
                <w:sz w:val="18"/>
              </w:rPr>
              <w:t>Laboratory</w:t>
            </w:r>
          </w:p>
        </w:tc>
        <w:tc>
          <w:tcPr>
            <w:tcW w:type="dxa" w:w="5040"/>
            <w:vAlign w:val="center"/>
          </w:tcPr>
          <w:p>
            <w:r>
              <w:rPr>
                <w:sz w:val="18"/>
              </w:rPr>
              <w:t>Lab Technician, Doctor, Facility, DHO</w:t>
            </w:r>
          </w:p>
        </w:tc>
      </w:tr>
      <w:tr>
        <w:tc>
          <w:tcPr>
            <w:tcW w:type="dxa" w:w="5040"/>
            <w:vAlign w:val="center"/>
          </w:tcPr>
          <w:p>
            <w:r>
              <w:rPr>
                <w:sz w:val="18"/>
              </w:rPr>
              <w:t>Facilities</w:t>
            </w:r>
          </w:p>
        </w:tc>
        <w:tc>
          <w:tcPr>
            <w:tcW w:type="dxa" w:w="5040"/>
            <w:vAlign w:val="center"/>
          </w:tcPr>
          <w:p>
            <w:r>
              <w:rPr>
                <w:sz w:val="18"/>
              </w:rPr>
              <w:t>Facility Owner, DHO</w:t>
            </w:r>
          </w:p>
        </w:tc>
      </w:tr>
      <w:tr>
        <w:tc>
          <w:tcPr>
            <w:tcW w:type="dxa" w:w="5040"/>
            <w:vAlign w:val="center"/>
          </w:tcPr>
          <w:p>
            <w:r>
              <w:rPr>
                <w:sz w:val="18"/>
              </w:rPr>
              <w:t>Staff / Verification</w:t>
            </w:r>
          </w:p>
        </w:tc>
        <w:tc>
          <w:tcPr>
            <w:tcW w:type="dxa" w:w="5040"/>
            <w:vAlign w:val="center"/>
          </w:tcPr>
          <w:p>
            <w:r>
              <w:rPr>
                <w:sz w:val="18"/>
              </w:rPr>
              <w:t>Facility Owner, DHO, authorized administrators</w:t>
            </w:r>
          </w:p>
        </w:tc>
      </w:tr>
      <w:tr>
        <w:tc>
          <w:tcPr>
            <w:tcW w:type="dxa" w:w="5040"/>
            <w:vAlign w:val="center"/>
          </w:tcPr>
          <w:p>
            <w:r>
              <w:rPr>
                <w:sz w:val="18"/>
              </w:rPr>
              <w:t>Tasks / Instructions</w:t>
            </w:r>
          </w:p>
        </w:tc>
        <w:tc>
          <w:tcPr>
            <w:tcW w:type="dxa" w:w="5040"/>
            <w:vAlign w:val="center"/>
          </w:tcPr>
          <w:p>
            <w:r>
              <w:rPr>
                <w:sz w:val="18"/>
              </w:rPr>
              <w:t>DHO, Facility, CHO/MO, ASHA, other authorized staff</w:t>
            </w:r>
          </w:p>
        </w:tc>
      </w:tr>
      <w:tr>
        <w:tc>
          <w:tcPr>
            <w:tcW w:type="dxa" w:w="5040"/>
            <w:vAlign w:val="center"/>
          </w:tcPr>
          <w:p>
            <w:r>
              <w:rPr>
                <w:sz w:val="18"/>
              </w:rPr>
              <w:t>Alerts / Incidents</w:t>
            </w:r>
          </w:p>
        </w:tc>
        <w:tc>
          <w:tcPr>
            <w:tcW w:type="dxa" w:w="5040"/>
            <w:vAlign w:val="center"/>
          </w:tcPr>
          <w:p>
            <w:r>
              <w:rPr>
                <w:sz w:val="18"/>
              </w:rPr>
              <w:t>Operational staff, Facility, DHO</w:t>
            </w:r>
          </w:p>
        </w:tc>
      </w:tr>
      <w:tr>
        <w:tc>
          <w:tcPr>
            <w:tcW w:type="dxa" w:w="5040"/>
            <w:vAlign w:val="center"/>
          </w:tcPr>
          <w:p>
            <w:r>
              <w:rPr>
                <w:sz w:val="18"/>
              </w:rPr>
              <w:t>Requirements</w:t>
            </w:r>
          </w:p>
        </w:tc>
        <w:tc>
          <w:tcPr>
            <w:tcW w:type="dxa" w:w="5040"/>
            <w:vAlign w:val="center"/>
          </w:tcPr>
          <w:p>
            <w:r>
              <w:rPr>
                <w:sz w:val="18"/>
              </w:rPr>
              <w:t>Pharmacy/Lab/Facility/ASHA → Facility/DHO</w:t>
            </w:r>
          </w:p>
        </w:tc>
      </w:tr>
      <w:tr>
        <w:tc>
          <w:tcPr>
            <w:tcW w:type="dxa" w:w="5040"/>
            <w:vAlign w:val="center"/>
          </w:tcPr>
          <w:p>
            <w:r>
              <w:rPr>
                <w:sz w:val="18"/>
              </w:rPr>
              <w:t>Content</w:t>
            </w:r>
          </w:p>
        </w:tc>
        <w:tc>
          <w:tcPr>
            <w:tcW w:type="dxa" w:w="5040"/>
            <w:vAlign w:val="center"/>
          </w:tcPr>
          <w:p>
            <w:r>
              <w:rPr>
                <w:sz w:val="18"/>
              </w:rPr>
              <w:t>Authorized clinical contributors/reviewers/publishers</w:t>
            </w:r>
          </w:p>
        </w:tc>
      </w:tr>
      <w:tr>
        <w:tc>
          <w:tcPr>
            <w:tcW w:type="dxa" w:w="5040"/>
            <w:vAlign w:val="center"/>
          </w:tcPr>
          <w:p>
            <w:r>
              <w:rPr>
                <w:sz w:val="18"/>
              </w:rPr>
              <w:t>Notifications</w:t>
            </w:r>
          </w:p>
        </w:tc>
        <w:tc>
          <w:tcPr>
            <w:tcW w:type="dxa" w:w="5040"/>
            <w:vAlign w:val="center"/>
          </w:tcPr>
          <w:p>
            <w:r>
              <w:rPr>
                <w:sz w:val="18"/>
              </w:rPr>
              <w:t>All roles according to scope</w:t>
            </w:r>
          </w:p>
        </w:tc>
      </w:tr>
    </w:tbl>
    <w:p>
      <w:pPr>
        <w:pStyle w:val="Heading1"/>
      </w:pPr>
      <w:r>
        <w:t>12. API Principles</w:t>
      </w:r>
    </w:p>
    <w:p>
      <w:pPr>
        <w:pStyle w:val="ListBullet"/>
        <w:spacing w:after="40"/>
      </w:pPr>
      <w:r>
        <w:t>Validate input with Zod or equivalent schema at the boundary.</w:t>
      </w:r>
    </w:p>
    <w:p>
      <w:pPr>
        <w:pStyle w:val="ListBullet"/>
        <w:spacing w:after="40"/>
      </w:pPr>
      <w:r>
        <w:t>Authenticate every protected request.</w:t>
      </w:r>
    </w:p>
    <w:p>
      <w:pPr>
        <w:pStyle w:val="ListBullet"/>
        <w:spacing w:after="40"/>
      </w:pPr>
      <w:r>
        <w:t>Authorize every protected mutation and sensitive read.</w:t>
      </w:r>
    </w:p>
    <w:p>
      <w:pPr>
        <w:pStyle w:val="ListBullet"/>
        <w:spacing w:after="40"/>
      </w:pPr>
      <w:r>
        <w:t>Use consistent error envelopes.</w:t>
      </w:r>
    </w:p>
    <w:p>
      <w:pPr>
        <w:pStyle w:val="ListBullet"/>
        <w:spacing w:after="40"/>
      </w:pPr>
      <w:r>
        <w:t>Use pagination for potentially large datasets.</w:t>
      </w:r>
    </w:p>
    <w:p>
      <w:pPr>
        <w:pStyle w:val="ListBullet"/>
        <w:spacing w:after="40"/>
      </w:pPr>
      <w:r>
        <w:t>Use idempotency keys for retryable mutations.</w:t>
      </w:r>
    </w:p>
    <w:p>
      <w:pPr>
        <w:pStyle w:val="ListBullet"/>
        <w:spacing w:after="40"/>
      </w:pPr>
      <w:r>
        <w:t>Do not expose database errors directly.</w:t>
      </w:r>
    </w:p>
    <w:p>
      <w:pPr>
        <w:pStyle w:val="ListBullet"/>
        <w:spacing w:after="40"/>
      </w:pPr>
      <w:r>
        <w:t>Record audit events for privileged changes.</w:t>
      </w:r>
    </w:p>
    <w:p>
      <w:pPr>
        <w:pStyle w:val="ListBullet"/>
        <w:spacing w:after="40"/>
      </w:pPr>
      <w:r>
        <w:t>Return only the fields required by the requesting role/workflow.</w:t>
      </w:r>
    </w:p>
    <w:p>
      <w:pPr>
        <w:pStyle w:val="Heading1"/>
      </w:pPr>
      <w:r>
        <w:t>13. Background Jobs</w:t>
      </w:r>
    </w:p>
    <w:p>
      <w:r>
        <w:t>Redis + BullMQ should handle work that does not need to block the user request.</w:t>
      </w:r>
    </w:p>
    <w:p>
      <w:pPr>
        <w:pStyle w:val="ListBullet"/>
        <w:spacing w:after="40"/>
      </w:pPr>
      <w:r>
        <w:t>OTP/SMS orchestration where appropriate.</w:t>
      </w:r>
    </w:p>
    <w:p>
      <w:pPr>
        <w:pStyle w:val="ListBullet"/>
        <w:spacing w:after="40"/>
      </w:pPr>
      <w:r>
        <w:t>Push notification delivery.</w:t>
      </w:r>
    </w:p>
    <w:p>
      <w:pPr>
        <w:pStyle w:val="ListBullet"/>
        <w:spacing w:after="40"/>
      </w:pPr>
      <w:r>
        <w:t>Offline sync processing where server-side processing is needed.</w:t>
      </w:r>
    </w:p>
    <w:p>
      <w:pPr>
        <w:pStyle w:val="ListBullet"/>
        <w:spacing w:after="40"/>
      </w:pPr>
      <w:r>
        <w:t>Scheduled reminders.</w:t>
      </w:r>
    </w:p>
    <w:p>
      <w:pPr>
        <w:pStyle w:val="ListBullet"/>
        <w:spacing w:after="40"/>
      </w:pPr>
      <w:r>
        <w:t>Alert fan-out.</w:t>
      </w:r>
    </w:p>
    <w:p>
      <w:pPr>
        <w:pStyle w:val="ListBullet"/>
        <w:spacing w:after="40"/>
      </w:pPr>
      <w:r>
        <w:t>Large report generation.</w:t>
      </w:r>
    </w:p>
    <w:p>
      <w:pPr>
        <w:pStyle w:val="ListBullet"/>
        <w:spacing w:after="40"/>
      </w:pPr>
      <w:r>
        <w:t>Content publication jobs.</w:t>
      </w:r>
    </w:p>
    <w:p>
      <w:pPr>
        <w:pStyle w:val="ListBullet"/>
        <w:spacing w:after="40"/>
      </w:pPr>
      <w:r>
        <w:t>Data aggregation/cache refresh.</w:t>
      </w:r>
    </w:p>
    <w:p>
      <w:pPr>
        <w:pStyle w:val="Heading1"/>
      </w:pPr>
      <w:r>
        <w:t>14. Pharmacy Architecture</w:t>
      </w:r>
    </w:p>
    <w:p>
      <w:pPr>
        <w:pStyle w:val="ListBullet"/>
        <w:spacing w:after="40"/>
      </w:pPr>
      <w:r>
        <w:t>Medicine master/catalog.</w:t>
      </w:r>
    </w:p>
    <w:p>
      <w:pPr>
        <w:pStyle w:val="ListBullet"/>
        <w:spacing w:after="40"/>
      </w:pPr>
      <w:r>
        <w:t>Facility-specific inventory.</w:t>
      </w:r>
    </w:p>
    <w:p>
      <w:pPr>
        <w:pStyle w:val="ListBullet"/>
        <w:spacing w:after="40"/>
      </w:pPr>
      <w:r>
        <w:t>Batch/expiry tracking where required.</w:t>
      </w:r>
    </w:p>
    <w:p>
      <w:pPr>
        <w:pStyle w:val="ListBullet"/>
        <w:spacing w:after="40"/>
      </w:pPr>
      <w:r>
        <w:t>Stock receipts.</w:t>
      </w:r>
    </w:p>
    <w:p>
      <w:pPr>
        <w:pStyle w:val="ListBullet"/>
        <w:spacing w:after="40"/>
      </w:pPr>
      <w:r>
        <w:t>Dispensing/issue transactions.</w:t>
      </w:r>
    </w:p>
    <w:p>
      <w:pPr>
        <w:pStyle w:val="ListBullet"/>
        <w:spacing w:after="40"/>
      </w:pPr>
      <w:r>
        <w:t>Low-stock thresholds.</w:t>
      </w:r>
    </w:p>
    <w:p>
      <w:pPr>
        <w:pStyle w:val="ListBullet"/>
        <w:spacing w:after="40"/>
      </w:pPr>
      <w:r>
        <w:t>Stock-out events.</w:t>
      </w:r>
    </w:p>
    <w:p>
      <w:pPr>
        <w:pStyle w:val="ListBullet"/>
        <w:spacing w:after="40"/>
      </w:pPr>
      <w:r>
        <w:t>Resource/reorder requests.</w:t>
      </w:r>
    </w:p>
    <w:p>
      <w:pPr>
        <w:pStyle w:val="ListBullet"/>
        <w:spacing w:after="40"/>
      </w:pPr>
      <w:r>
        <w:t>Inventory audit trail.</w:t>
      </w:r>
    </w:p>
    <w:p>
      <w:r>
        <w:t>Never model inventory as a single editable number without transaction history.</w:t>
      </w:r>
    </w:p>
    <w:p>
      <w:pPr>
        <w:pStyle w:val="Heading1"/>
      </w:pPr>
      <w:r>
        <w:t>15. Laboratory Architecture</w:t>
      </w:r>
    </w:p>
    <w:p>
      <w:pPr>
        <w:pStyle w:val="ListBullet"/>
        <w:spacing w:after="40"/>
      </w:pPr>
      <w:r>
        <w:t>Diagnostic order.</w:t>
      </w:r>
    </w:p>
    <w:p>
      <w:pPr>
        <w:pStyle w:val="ListBullet"/>
        <w:spacing w:after="40"/>
      </w:pPr>
      <w:r>
        <w:t>Sample collection.</w:t>
      </w:r>
    </w:p>
    <w:p>
      <w:pPr>
        <w:pStyle w:val="ListBullet"/>
        <w:spacing w:after="40"/>
      </w:pPr>
      <w:r>
        <w:t>Sample receipt.</w:t>
      </w:r>
    </w:p>
    <w:p>
      <w:pPr>
        <w:pStyle w:val="ListBullet"/>
        <w:spacing w:after="40"/>
      </w:pPr>
      <w:r>
        <w:t>Test queue.</w:t>
      </w:r>
    </w:p>
    <w:p>
      <w:pPr>
        <w:pStyle w:val="ListBullet"/>
        <w:spacing w:after="40"/>
      </w:pPr>
      <w:r>
        <w:t>Processing.</w:t>
      </w:r>
    </w:p>
    <w:p>
      <w:pPr>
        <w:pStyle w:val="ListBullet"/>
        <w:spacing w:after="40"/>
      </w:pPr>
      <w:r>
        <w:t>Result draft/finalization.</w:t>
      </w:r>
    </w:p>
    <w:p>
      <w:pPr>
        <w:pStyle w:val="ListBullet"/>
        <w:spacing w:after="40"/>
      </w:pPr>
      <w:r>
        <w:t>Report generation.</w:t>
      </w:r>
    </w:p>
    <w:p>
      <w:pPr>
        <w:pStyle w:val="ListBullet"/>
        <w:spacing w:after="40"/>
      </w:pPr>
      <w:r>
        <w:t>Equipment/outage status.</w:t>
      </w:r>
    </w:p>
    <w:p>
      <w:pPr>
        <w:pStyle w:val="ListBullet"/>
        <w:spacing w:after="40"/>
      </w:pPr>
      <w:r>
        <w:t>Reagent/consumable stock.</w:t>
      </w:r>
    </w:p>
    <w:p>
      <w:pPr>
        <w:pStyle w:val="Heading1"/>
      </w:pPr>
      <w:r>
        <w:t>16. Referral Architecture</w:t>
      </w:r>
    </w:p>
    <w:p>
      <w:pPr>
        <w:jc w:val="center"/>
      </w:pPr>
      <w:r>
        <w:rPr>
          <w:b/>
          <w:sz w:val="24"/>
        </w:rPr>
        <w:t>REFERRED → RECEIVED/REACHED → CONSULTED → TREATMENT → FOLLOW-UP → COMPLETED</w:t>
      </w:r>
    </w:p>
    <w:p>
      <w:pPr>
        <w:pStyle w:val="ListBullet"/>
        <w:spacing w:after="40"/>
      </w:pPr>
      <w:r>
        <w:t>Referral must have an origin, destination, reason, priority and status.</w:t>
      </w:r>
    </w:p>
    <w:p>
      <w:pPr>
        <w:pStyle w:val="ListBullet"/>
        <w:spacing w:after="40"/>
      </w:pPr>
      <w:r>
        <w:t>Receiving facility should be able to acknowledge/review the referral.</w:t>
      </w:r>
    </w:p>
    <w:p>
      <w:pPr>
        <w:pStyle w:val="ListBullet"/>
        <w:spacing w:after="40"/>
      </w:pPr>
      <w:r>
        <w:t>Clinical users can add authorized consultation/outcome information.</w:t>
      </w:r>
    </w:p>
    <w:p>
      <w:pPr>
        <w:pStyle w:val="ListBullet"/>
        <w:spacing w:after="40"/>
      </w:pPr>
      <w:r>
        <w:t>DHO receives aggregate completion/drop-off visibility.</w:t>
      </w:r>
    </w:p>
    <w:p>
      <w:pPr>
        <w:pStyle w:val="ListBullet"/>
        <w:spacing w:after="40"/>
      </w:pPr>
      <w:r>
        <w:t>ASHA/clinical staff can track appropriate follow-up.</w:t>
      </w:r>
    </w:p>
    <w:p>
      <w:pPr>
        <w:pStyle w:val="Heading1"/>
      </w:pPr>
      <w:r>
        <w:t>17. Alert / Incident / Escalation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FEA"/>
          </w:tcPr>
          <w:p>
            <w:r>
              <w:rPr>
                <w:b/>
                <w:sz w:val="18"/>
              </w:rPr>
              <w:t>Object</w:t>
            </w:r>
          </w:p>
        </w:tc>
        <w:tc>
          <w:tcPr>
            <w:tcW w:type="dxa" w:w="3360"/>
            <w:shd w:fill="DDEFEA"/>
          </w:tcPr>
          <w:p>
            <w:r>
              <w:rPr>
                <w:b/>
                <w:sz w:val="18"/>
              </w:rPr>
              <w:t>Meaning</w:t>
            </w:r>
          </w:p>
        </w:tc>
        <w:tc>
          <w:tcPr>
            <w:tcW w:type="dxa" w:w="3360"/>
            <w:shd w:fill="DDEFEA"/>
          </w:tcPr>
          <w:p>
            <w:r>
              <w:rPr>
                <w:b/>
                <w:sz w:val="18"/>
              </w:rPr>
              <w:t>Typical lifecycle</w:t>
            </w:r>
          </w:p>
        </w:tc>
      </w:tr>
      <w:tr>
        <w:tc>
          <w:tcPr>
            <w:tcW w:type="dxa" w:w="3360"/>
            <w:vAlign w:val="center"/>
          </w:tcPr>
          <w:p>
            <w:r>
              <w:rPr>
                <w:sz w:val="18"/>
              </w:rPr>
              <w:t>Alert</w:t>
            </w:r>
          </w:p>
        </w:tc>
        <w:tc>
          <w:tcPr>
            <w:tcW w:type="dxa" w:w="3360"/>
            <w:vAlign w:val="center"/>
          </w:tcPr>
          <w:p>
            <w:r>
              <w:rPr>
                <w:sz w:val="18"/>
              </w:rPr>
              <w:t>Information requiring awareness/action</w:t>
            </w:r>
          </w:p>
        </w:tc>
        <w:tc>
          <w:tcPr>
            <w:tcW w:type="dxa" w:w="3360"/>
            <w:vAlign w:val="center"/>
          </w:tcPr>
          <w:p>
            <w:r>
              <w:rPr>
                <w:sz w:val="18"/>
              </w:rPr>
              <w:t>Created → Seen/Acknowledged → Resolved/Expired</w:t>
            </w:r>
          </w:p>
        </w:tc>
      </w:tr>
      <w:tr>
        <w:tc>
          <w:tcPr>
            <w:tcW w:type="dxa" w:w="3360"/>
            <w:vAlign w:val="center"/>
          </w:tcPr>
          <w:p>
            <w:r>
              <w:rPr>
                <w:sz w:val="18"/>
              </w:rPr>
              <w:t>Incident</w:t>
            </w:r>
          </w:p>
        </w:tc>
        <w:tc>
          <w:tcPr>
            <w:tcW w:type="dxa" w:w="3360"/>
            <w:vAlign w:val="center"/>
          </w:tcPr>
          <w:p>
            <w:r>
              <w:rPr>
                <w:sz w:val="18"/>
              </w:rPr>
              <w:t>Operational/service disruption</w:t>
            </w:r>
          </w:p>
        </w:tc>
        <w:tc>
          <w:tcPr>
            <w:tcW w:type="dxa" w:w="3360"/>
            <w:vAlign w:val="center"/>
          </w:tcPr>
          <w:p>
            <w:r>
              <w:rPr>
                <w:sz w:val="18"/>
              </w:rPr>
              <w:t>Reported → Assigned → In Progress → Resolved → Closed</w:t>
            </w:r>
          </w:p>
        </w:tc>
      </w:tr>
      <w:tr>
        <w:tc>
          <w:tcPr>
            <w:tcW w:type="dxa" w:w="3360"/>
            <w:vAlign w:val="center"/>
          </w:tcPr>
          <w:p>
            <w:r>
              <w:rPr>
                <w:sz w:val="18"/>
              </w:rPr>
              <w:t>Escalation</w:t>
            </w:r>
          </w:p>
        </w:tc>
        <w:tc>
          <w:tcPr>
            <w:tcW w:type="dxa" w:w="3360"/>
            <w:vAlign w:val="center"/>
          </w:tcPr>
          <w:p>
            <w:r>
              <w:rPr>
                <w:sz w:val="18"/>
              </w:rPr>
              <w:t>Issue moved to higher authority</w:t>
            </w:r>
          </w:p>
        </w:tc>
        <w:tc>
          <w:tcPr>
            <w:tcW w:type="dxa" w:w="3360"/>
            <w:vAlign w:val="center"/>
          </w:tcPr>
          <w:p>
            <w:r>
              <w:rPr>
                <w:sz w:val="18"/>
              </w:rPr>
              <w:t>Raised → Received → Actioned → Closed</w:t>
            </w:r>
          </w:p>
        </w:tc>
      </w:tr>
      <w:tr>
        <w:tc>
          <w:tcPr>
            <w:tcW w:type="dxa" w:w="3360"/>
            <w:vAlign w:val="center"/>
          </w:tcPr>
          <w:p>
            <w:r>
              <w:rPr>
                <w:sz w:val="18"/>
              </w:rPr>
              <w:t>Task</w:t>
            </w:r>
          </w:p>
        </w:tc>
        <w:tc>
          <w:tcPr>
            <w:tcW w:type="dxa" w:w="3360"/>
            <w:vAlign w:val="center"/>
          </w:tcPr>
          <w:p>
            <w:r>
              <w:rPr>
                <w:sz w:val="18"/>
              </w:rPr>
              <w:t>Accountable work</w:t>
            </w:r>
          </w:p>
        </w:tc>
        <w:tc>
          <w:tcPr>
            <w:tcW w:type="dxa" w:w="3360"/>
            <w:vAlign w:val="center"/>
          </w:tcPr>
          <w:p>
            <w:r>
              <w:rPr>
                <w:sz w:val="18"/>
              </w:rPr>
              <w:t>Created → Assigned → Acknowledged → In Progress → Completed</w:t>
            </w:r>
          </w:p>
        </w:tc>
      </w:tr>
      <w:tr>
        <w:tc>
          <w:tcPr>
            <w:tcW w:type="dxa" w:w="3360"/>
            <w:vAlign w:val="center"/>
          </w:tcPr>
          <w:p>
            <w:r>
              <w:rPr>
                <w:sz w:val="18"/>
              </w:rPr>
              <w:t>Instruction</w:t>
            </w:r>
          </w:p>
        </w:tc>
        <w:tc>
          <w:tcPr>
            <w:tcW w:type="dxa" w:w="3360"/>
            <w:vAlign w:val="center"/>
          </w:tcPr>
          <w:p>
            <w:r>
              <w:rPr>
                <w:sz w:val="18"/>
              </w:rPr>
              <w:t>Authority-issued direction</w:t>
            </w:r>
          </w:p>
        </w:tc>
        <w:tc>
          <w:tcPr>
            <w:tcW w:type="dxa" w:w="3360"/>
            <w:vAlign w:val="center"/>
          </w:tcPr>
          <w:p>
            <w:r>
              <w:rPr>
                <w:sz w:val="18"/>
              </w:rPr>
              <w:t>Issued → Acknowledged → Completed → Monitored</w:t>
            </w:r>
          </w:p>
        </w:tc>
      </w:tr>
    </w:tbl>
    <w:p>
      <w:pPr>
        <w:pStyle w:val="Heading1"/>
      </w:pPr>
      <w:r>
        <w:t>18. Health Content Architecture</w:t>
      </w:r>
    </w:p>
    <w:p>
      <w:pPr>
        <w:pStyle w:val="ListBullet"/>
        <w:spacing w:after="40"/>
      </w:pPr>
      <w:r>
        <w:t>Draft → Review → Approve → Publish → Update/Archive.</w:t>
      </w:r>
    </w:p>
    <w:p>
      <w:pPr>
        <w:pStyle w:val="ListBullet"/>
        <w:spacing w:after="40"/>
      </w:pPr>
      <w:r>
        <w:t>Role-based authorship and approval.</w:t>
      </w:r>
    </w:p>
    <w:p>
      <w:pPr>
        <w:pStyle w:val="ListBullet"/>
        <w:spacing w:after="40"/>
      </w:pPr>
      <w:r>
        <w:t>English/Marathi/Hindi variants.</w:t>
      </w:r>
    </w:p>
    <w:p>
      <w:pPr>
        <w:pStyle w:val="ListBullet"/>
        <w:spacing w:after="40"/>
      </w:pPr>
      <w:r>
        <w:t>Version history.</w:t>
      </w:r>
    </w:p>
    <w:p>
      <w:pPr>
        <w:pStyle w:val="ListBullet"/>
        <w:spacing w:after="40"/>
      </w:pPr>
      <w:r>
        <w:t>Author/reviewer/publication metadata.</w:t>
      </w:r>
    </w:p>
    <w:p>
      <w:pPr>
        <w:pStyle w:val="ListBullet"/>
        <w:spacing w:after="40"/>
      </w:pPr>
      <w:r>
        <w:t>District-wide publishing restricted to authorized roles.</w:t>
      </w:r>
    </w:p>
    <w:p>
      <w:pPr>
        <w:pStyle w:val="Heading1"/>
      </w:pPr>
      <w:r>
        <w:t>19. DHO Analytics Stack</w:t>
      </w:r>
    </w:p>
    <w:tbl>
      <w:tblPr>
        <w:tblStyle w:val="TableGrid"/>
        <w:tblW w:type="auto" w:w="0"/>
        <w:jc w:val="center"/>
        <w:tblLook w:firstColumn="1" w:firstRow="1" w:lastColumn="0" w:lastRow="0" w:noHBand="0" w:noVBand="1" w:val="04A0"/>
      </w:tblPr>
      <w:tblGrid>
        <w:gridCol w:w="5040"/>
        <w:gridCol w:w="5040"/>
      </w:tblGrid>
      <w:tr>
        <w:tc>
          <w:tcPr>
            <w:tcW w:type="dxa" w:w="5040"/>
            <w:shd w:fill="DDEFEA"/>
          </w:tcPr>
          <w:p>
            <w:r>
              <w:rPr>
                <w:b/>
                <w:sz w:val="18"/>
              </w:rPr>
              <w:t>Visualization</w:t>
            </w:r>
          </w:p>
        </w:tc>
        <w:tc>
          <w:tcPr>
            <w:tcW w:type="dxa" w:w="5040"/>
            <w:shd w:fill="DDEFEA"/>
          </w:tcPr>
          <w:p>
            <w:r>
              <w:rPr>
                <w:b/>
                <w:sz w:val="18"/>
              </w:rPr>
              <w:t>Technology / pattern</w:t>
            </w:r>
          </w:p>
        </w:tc>
      </w:tr>
      <w:tr>
        <w:tc>
          <w:tcPr>
            <w:tcW w:type="dxa" w:w="5040"/>
            <w:vAlign w:val="center"/>
          </w:tcPr>
          <w:p>
            <w:r>
              <w:rPr>
                <w:sz w:val="18"/>
              </w:rPr>
              <w:t>Headline metrics</w:t>
            </w:r>
          </w:p>
        </w:tc>
        <w:tc>
          <w:tcPr>
            <w:tcW w:type="dxa" w:w="5040"/>
            <w:vAlign w:val="center"/>
          </w:tcPr>
          <w:p>
            <w:r>
              <w:rPr>
                <w:sz w:val="18"/>
              </w:rPr>
              <w:t>React components + server/query data</w:t>
            </w:r>
          </w:p>
        </w:tc>
      </w:tr>
      <w:tr>
        <w:tc>
          <w:tcPr>
            <w:tcW w:type="dxa" w:w="5040"/>
            <w:vAlign w:val="center"/>
          </w:tcPr>
          <w:p>
            <w:r>
              <w:rPr>
                <w:sz w:val="18"/>
              </w:rPr>
              <w:t>Referral funnel</w:t>
            </w:r>
          </w:p>
        </w:tc>
        <w:tc>
          <w:tcPr>
            <w:tcW w:type="dxa" w:w="5040"/>
            <w:vAlign w:val="center"/>
          </w:tcPr>
          <w:p>
            <w:r>
              <w:rPr>
                <w:sz w:val="18"/>
              </w:rPr>
              <w:t>Recharts / horizontal bar/funnel-style visualization</w:t>
            </w:r>
          </w:p>
        </w:tc>
      </w:tr>
      <w:tr>
        <w:tc>
          <w:tcPr>
            <w:tcW w:type="dxa" w:w="5040"/>
            <w:vAlign w:val="center"/>
          </w:tcPr>
          <w:p>
            <w:r>
              <w:rPr>
                <w:sz w:val="18"/>
              </w:rPr>
              <w:t>Facility comparisons</w:t>
            </w:r>
          </w:p>
        </w:tc>
        <w:tc>
          <w:tcPr>
            <w:tcW w:type="dxa" w:w="5040"/>
            <w:vAlign w:val="center"/>
          </w:tcPr>
          <w:p>
            <w:r>
              <w:rPr>
                <w:sz w:val="18"/>
              </w:rPr>
              <w:t>Recharts bar/table</w:t>
            </w:r>
          </w:p>
        </w:tc>
      </w:tr>
      <w:tr>
        <w:tc>
          <w:tcPr>
            <w:tcW w:type="dxa" w:w="5040"/>
            <w:vAlign w:val="center"/>
          </w:tcPr>
          <w:p>
            <w:r>
              <w:rPr>
                <w:sz w:val="18"/>
              </w:rPr>
              <w:t>Trend analysis</w:t>
            </w:r>
          </w:p>
        </w:tc>
        <w:tc>
          <w:tcPr>
            <w:tcW w:type="dxa" w:w="5040"/>
            <w:vAlign w:val="center"/>
          </w:tcPr>
          <w:p>
            <w:r>
              <w:rPr>
                <w:sz w:val="18"/>
              </w:rPr>
              <w:t>Recharts line charts</w:t>
            </w:r>
          </w:p>
        </w:tc>
      </w:tr>
      <w:tr>
        <w:tc>
          <w:tcPr>
            <w:tcW w:type="dxa" w:w="5040"/>
            <w:vAlign w:val="center"/>
          </w:tcPr>
          <w:p>
            <w:r>
              <w:rPr>
                <w:sz w:val="18"/>
              </w:rPr>
              <w:t>District heatmap</w:t>
            </w:r>
          </w:p>
        </w:tc>
        <w:tc>
          <w:tcPr>
            <w:tcW w:type="dxa" w:w="5040"/>
            <w:vAlign w:val="center"/>
          </w:tcPr>
          <w:p>
            <w:r>
              <w:rPr>
                <w:sz w:val="18"/>
              </w:rPr>
              <w:t>react-simple-maps + metric overlay</w:t>
            </w:r>
          </w:p>
        </w:tc>
      </w:tr>
      <w:tr>
        <w:tc>
          <w:tcPr>
            <w:tcW w:type="dxa" w:w="5040"/>
            <w:vAlign w:val="center"/>
          </w:tcPr>
          <w:p>
            <w:r>
              <w:rPr>
                <w:sz w:val="18"/>
              </w:rPr>
              <w:t>Facility table</w:t>
            </w:r>
          </w:p>
        </w:tc>
        <w:tc>
          <w:tcPr>
            <w:tcW w:type="dxa" w:w="5040"/>
            <w:vAlign w:val="center"/>
          </w:tcPr>
          <w:p>
            <w:r>
              <w:rPr>
                <w:sz w:val="18"/>
              </w:rPr>
              <w:t>shadcn/ui data table pattern + server pagination/sorting</w:t>
            </w:r>
          </w:p>
        </w:tc>
      </w:tr>
      <w:tr>
        <w:tc>
          <w:tcPr>
            <w:tcW w:type="dxa" w:w="5040"/>
            <w:vAlign w:val="center"/>
          </w:tcPr>
          <w:p>
            <w:r>
              <w:rPr>
                <w:sz w:val="18"/>
              </w:rPr>
              <w:t>Loading</w:t>
            </w:r>
          </w:p>
        </w:tc>
        <w:tc>
          <w:tcPr>
            <w:tcW w:type="dxa" w:w="5040"/>
            <w:vAlign w:val="center"/>
          </w:tcPr>
          <w:p>
            <w:r>
              <w:rPr>
                <w:sz w:val="18"/>
              </w:rPr>
              <w:t>Skeleton states</w:t>
            </w:r>
          </w:p>
        </w:tc>
      </w:tr>
    </w:tbl>
    <w:p>
      <w:r>
        <w:t>Charts should remain restrained: teal for normal/positive, amber for warning, muted red for critical.</w:t>
      </w:r>
    </w:p>
    <w:p>
      <w:pPr>
        <w:pStyle w:val="Heading1"/>
      </w:pPr>
      <w:r>
        <w:t>20. Security Architecture</w:t>
      </w:r>
    </w:p>
    <w:p>
      <w:pPr>
        <w:pStyle w:val="ListBullet"/>
        <w:spacing w:after="40"/>
      </w:pPr>
      <w:r>
        <w:t>HTTPS/TLS for all network traffic.</w:t>
      </w:r>
    </w:p>
    <w:p>
      <w:pPr>
        <w:pStyle w:val="ListBullet"/>
        <w:spacing w:after="40"/>
      </w:pPr>
      <w:r>
        <w:t>Secure OTP handling and rate limiting.</w:t>
      </w:r>
    </w:p>
    <w:p>
      <w:pPr>
        <w:pStyle w:val="ListBullet"/>
        <w:spacing w:after="40"/>
      </w:pPr>
      <w:r>
        <w:t>Short-lived authentication/session credentials with secure storage.</w:t>
      </w:r>
    </w:p>
    <w:p>
      <w:pPr>
        <w:pStyle w:val="ListBullet"/>
        <w:spacing w:after="40"/>
      </w:pPr>
      <w:r>
        <w:t>Server-side authorization.</w:t>
      </w:r>
    </w:p>
    <w:p>
      <w:pPr>
        <w:pStyle w:val="ListBullet"/>
        <w:spacing w:after="40"/>
      </w:pPr>
      <w:r>
        <w:t>Least-privilege access.</w:t>
      </w:r>
    </w:p>
    <w:p>
      <w:pPr>
        <w:pStyle w:val="ListBullet"/>
        <w:spacing w:after="40"/>
      </w:pPr>
      <w:r>
        <w:t>Object-level access checks.</w:t>
      </w:r>
    </w:p>
    <w:p>
      <w:pPr>
        <w:pStyle w:val="ListBullet"/>
        <w:spacing w:after="40"/>
      </w:pPr>
      <w:r>
        <w:t>Audit logging.</w:t>
      </w:r>
    </w:p>
    <w:p>
      <w:pPr>
        <w:pStyle w:val="ListBullet"/>
        <w:spacing w:after="40"/>
      </w:pPr>
      <w:r>
        <w:t>Input validation and output shaping.</w:t>
      </w:r>
    </w:p>
    <w:p>
      <w:pPr>
        <w:pStyle w:val="ListBullet"/>
        <w:spacing w:after="40"/>
      </w:pPr>
      <w:r>
        <w:t>Protection against common web threats such as CSRF where applicable, XSS, injection and broken access control.</w:t>
      </w:r>
    </w:p>
    <w:p>
      <w:pPr>
        <w:pStyle w:val="ListBullet"/>
        <w:spacing w:after="40"/>
      </w:pPr>
      <w:r>
        <w:t>Secure document access using authorization checks and time-limited access mechanisms where appropriate.</w:t>
      </w:r>
    </w:p>
    <w:p>
      <w:pPr>
        <w:pStyle w:val="ListBullet"/>
        <w:spacing w:after="40"/>
      </w:pPr>
      <w:r>
        <w:t>Secrets managed outside source control.</w:t>
      </w:r>
    </w:p>
    <w:p>
      <w:pPr>
        <w:pStyle w:val="Heading1"/>
      </w:pPr>
      <w:r>
        <w:t>21. Privacy Architecture</w:t>
      </w:r>
    </w:p>
    <w:p>
      <w:pPr>
        <w:pStyle w:val="ListBullet"/>
        <w:spacing w:after="40"/>
      </w:pPr>
      <w:r>
        <w:t>Collect the minimum data needed for each workflow.</w:t>
      </w:r>
    </w:p>
    <w:p>
      <w:pPr>
        <w:pStyle w:val="ListBullet"/>
        <w:spacing w:after="40"/>
      </w:pPr>
      <w:r>
        <w:t>Separate patient-level clinical data from district-level aggregate monitoring where possible.</w:t>
      </w:r>
    </w:p>
    <w:p>
      <w:pPr>
        <w:pStyle w:val="ListBullet"/>
        <w:spacing w:after="40"/>
      </w:pPr>
      <w:r>
        <w:t>DHO dashboard should default to aggregate/facility-level data.</w:t>
      </w:r>
    </w:p>
    <w:p>
      <w:pPr>
        <w:pStyle w:val="ListBullet"/>
        <w:spacing w:after="40"/>
      </w:pPr>
      <w:r>
        <w:t>Do not expose patient names to roles that do not require them.</w:t>
      </w:r>
    </w:p>
    <w:p>
      <w:pPr>
        <w:pStyle w:val="ListBullet"/>
        <w:spacing w:after="40"/>
      </w:pPr>
      <w:r>
        <w:t>Cache only minimum authorized offline data.</w:t>
      </w:r>
    </w:p>
    <w:p>
      <w:pPr>
        <w:pStyle w:val="ListBullet"/>
        <w:spacing w:after="40"/>
      </w:pPr>
      <w:r>
        <w:t>Define retention and deletion policies with the implementing authority.</w:t>
      </w:r>
    </w:p>
    <w:p>
      <w:pPr>
        <w:pStyle w:val="ListBullet"/>
        <w:spacing w:after="40"/>
      </w:pPr>
      <w:r>
        <w:t>Maintain auditable access to sensitive records.</w:t>
      </w:r>
    </w:p>
    <w:p>
      <w:pPr>
        <w:pStyle w:val="Heading1"/>
      </w:pPr>
      <w:r>
        <w:t>22. Observability</w:t>
      </w:r>
    </w:p>
    <w:tbl>
      <w:tblPr>
        <w:tblStyle w:val="TableGrid"/>
        <w:tblW w:type="auto" w:w="0"/>
        <w:jc w:val="center"/>
        <w:tblLook w:firstColumn="1" w:firstRow="1" w:lastColumn="0" w:lastRow="0" w:noHBand="0" w:noVBand="1" w:val="04A0"/>
      </w:tblPr>
      <w:tblGrid>
        <w:gridCol w:w="5040"/>
        <w:gridCol w:w="5040"/>
      </w:tblGrid>
      <w:tr>
        <w:tc>
          <w:tcPr>
            <w:tcW w:type="dxa" w:w="5040"/>
            <w:shd w:fill="DDEFEA"/>
          </w:tcPr>
          <w:p>
            <w:r>
              <w:rPr>
                <w:b/>
                <w:sz w:val="18"/>
              </w:rPr>
              <w:t>Layer</w:t>
            </w:r>
          </w:p>
        </w:tc>
        <w:tc>
          <w:tcPr>
            <w:tcW w:type="dxa" w:w="5040"/>
            <w:shd w:fill="DDEFEA"/>
          </w:tcPr>
          <w:p>
            <w:r>
              <w:rPr>
                <w:b/>
                <w:sz w:val="18"/>
              </w:rPr>
              <w:t>Approach</w:t>
            </w:r>
          </w:p>
        </w:tc>
      </w:tr>
      <w:tr>
        <w:tc>
          <w:tcPr>
            <w:tcW w:type="dxa" w:w="5040"/>
            <w:vAlign w:val="center"/>
          </w:tcPr>
          <w:p>
            <w:r>
              <w:rPr>
                <w:sz w:val="18"/>
              </w:rPr>
              <w:t>Frontend errors</w:t>
            </w:r>
          </w:p>
        </w:tc>
        <w:tc>
          <w:tcPr>
            <w:tcW w:type="dxa" w:w="5040"/>
            <w:vAlign w:val="center"/>
          </w:tcPr>
          <w:p>
            <w:r>
              <w:rPr>
                <w:sz w:val="18"/>
              </w:rPr>
              <w:t>Sentry</w:t>
            </w:r>
          </w:p>
        </w:tc>
      </w:tr>
      <w:tr>
        <w:tc>
          <w:tcPr>
            <w:tcW w:type="dxa" w:w="5040"/>
            <w:vAlign w:val="center"/>
          </w:tcPr>
          <w:p>
            <w:r>
              <w:rPr>
                <w:sz w:val="18"/>
              </w:rPr>
              <w:t>Backend errors</w:t>
            </w:r>
          </w:p>
        </w:tc>
        <w:tc>
          <w:tcPr>
            <w:tcW w:type="dxa" w:w="5040"/>
            <w:vAlign w:val="center"/>
          </w:tcPr>
          <w:p>
            <w:r>
              <w:rPr>
                <w:sz w:val="18"/>
              </w:rPr>
              <w:t>Sentry + structured logs</w:t>
            </w:r>
          </w:p>
        </w:tc>
      </w:tr>
      <w:tr>
        <w:tc>
          <w:tcPr>
            <w:tcW w:type="dxa" w:w="5040"/>
            <w:vAlign w:val="center"/>
          </w:tcPr>
          <w:p>
            <w:r>
              <w:rPr>
                <w:sz w:val="18"/>
              </w:rPr>
              <w:t>Audit events</w:t>
            </w:r>
          </w:p>
        </w:tc>
        <w:tc>
          <w:tcPr>
            <w:tcW w:type="dxa" w:w="5040"/>
            <w:vAlign w:val="center"/>
          </w:tcPr>
          <w:p>
            <w:r>
              <w:rPr>
                <w:sz w:val="18"/>
              </w:rPr>
              <w:t>Dedicated audit event store/table</w:t>
            </w:r>
          </w:p>
        </w:tc>
      </w:tr>
      <w:tr>
        <w:tc>
          <w:tcPr>
            <w:tcW w:type="dxa" w:w="5040"/>
            <w:vAlign w:val="center"/>
          </w:tcPr>
          <w:p>
            <w:r>
              <w:rPr>
                <w:sz w:val="18"/>
              </w:rPr>
              <w:t>Performance</w:t>
            </w:r>
          </w:p>
        </w:tc>
        <w:tc>
          <w:tcPr>
            <w:tcW w:type="dxa" w:w="5040"/>
            <w:vAlign w:val="center"/>
          </w:tcPr>
          <w:p>
            <w:r>
              <w:rPr>
                <w:sz w:val="18"/>
              </w:rPr>
              <w:t>Web vitals + application performance metrics</w:t>
            </w:r>
          </w:p>
        </w:tc>
      </w:tr>
      <w:tr>
        <w:tc>
          <w:tcPr>
            <w:tcW w:type="dxa" w:w="5040"/>
            <w:vAlign w:val="center"/>
          </w:tcPr>
          <w:p>
            <w:r>
              <w:rPr>
                <w:sz w:val="18"/>
              </w:rPr>
              <w:t>Background jobs</w:t>
            </w:r>
          </w:p>
        </w:tc>
        <w:tc>
          <w:tcPr>
            <w:tcW w:type="dxa" w:w="5040"/>
            <w:vAlign w:val="center"/>
          </w:tcPr>
          <w:p>
            <w:r>
              <w:rPr>
                <w:sz w:val="18"/>
              </w:rPr>
              <w:t>BullMQ job status + failure/retry monitoring</w:t>
            </w:r>
          </w:p>
        </w:tc>
      </w:tr>
      <w:tr>
        <w:tc>
          <w:tcPr>
            <w:tcW w:type="dxa" w:w="5040"/>
            <w:vAlign w:val="center"/>
          </w:tcPr>
          <w:p>
            <w:r>
              <w:rPr>
                <w:sz w:val="18"/>
              </w:rPr>
              <w:t>Database</w:t>
            </w:r>
          </w:p>
        </w:tc>
        <w:tc>
          <w:tcPr>
            <w:tcW w:type="dxa" w:w="5040"/>
            <w:vAlign w:val="center"/>
          </w:tcPr>
          <w:p>
            <w:r>
              <w:rPr>
                <w:sz w:val="18"/>
              </w:rPr>
              <w:t>Managed PostgreSQL monitoring</w:t>
            </w:r>
          </w:p>
        </w:tc>
      </w:tr>
      <w:tr>
        <w:tc>
          <w:tcPr>
            <w:tcW w:type="dxa" w:w="5040"/>
            <w:vAlign w:val="center"/>
          </w:tcPr>
          <w:p>
            <w:r>
              <w:rPr>
                <w:sz w:val="18"/>
              </w:rPr>
              <w:t>Availability</w:t>
            </w:r>
          </w:p>
        </w:tc>
        <w:tc>
          <w:tcPr>
            <w:tcW w:type="dxa" w:w="5040"/>
            <w:vAlign w:val="center"/>
          </w:tcPr>
          <w:p>
            <w:r>
              <w:rPr>
                <w:sz w:val="18"/>
              </w:rPr>
              <w:t>Health/readiness endpoints and infrastructure monitoring</w:t>
            </w:r>
          </w:p>
        </w:tc>
      </w:tr>
    </w:tbl>
    <w:p>
      <w:pPr>
        <w:pStyle w:val="Heading1"/>
      </w:pPr>
      <w:r>
        <w:t>23. Testing Strategy</w:t>
      </w:r>
    </w:p>
    <w:p>
      <w:pPr>
        <w:pStyle w:val="Heading2"/>
      </w:pPr>
      <w:r>
        <w:t>Unit / integration</w:t>
      </w:r>
    </w:p>
    <w:p>
      <w:pPr>
        <w:pStyle w:val="ListBullet"/>
        <w:spacing w:after="40"/>
      </w:pPr>
      <w:r>
        <w:t>Permission checks.</w:t>
      </w:r>
    </w:p>
    <w:p>
      <w:pPr>
        <w:pStyle w:val="ListBullet"/>
        <w:spacing w:after="40"/>
      </w:pPr>
      <w:r>
        <w:t>Role/scope resolution.</w:t>
      </w:r>
    </w:p>
    <w:p>
      <w:pPr>
        <w:pStyle w:val="ListBullet"/>
        <w:spacing w:after="40"/>
      </w:pPr>
      <w:r>
        <w:t>Referral state transitions.</w:t>
      </w:r>
    </w:p>
    <w:p>
      <w:pPr>
        <w:pStyle w:val="ListBullet"/>
        <w:spacing w:after="40"/>
      </w:pPr>
      <w:r>
        <w:t>Inventory transactions.</w:t>
      </w:r>
    </w:p>
    <w:p>
      <w:pPr>
        <w:pStyle w:val="ListBullet"/>
        <w:spacing w:after="40"/>
      </w:pPr>
      <w:r>
        <w:t>Task/alert lifecycle.</w:t>
      </w:r>
    </w:p>
    <w:p>
      <w:pPr>
        <w:pStyle w:val="ListBullet"/>
        <w:spacing w:after="40"/>
      </w:pPr>
      <w:r>
        <w:t>Offline mutation/idempotency logic.</w:t>
      </w:r>
    </w:p>
    <w:p>
      <w:pPr>
        <w:pStyle w:val="ListBullet"/>
        <w:spacing w:after="40"/>
      </w:pPr>
      <w:r>
        <w:t>Validation schemas.</w:t>
      </w:r>
    </w:p>
    <w:p>
      <w:pPr>
        <w:pStyle w:val="Heading2"/>
      </w:pPr>
      <w:r>
        <w:t>End-to-end</w:t>
      </w:r>
    </w:p>
    <w:p>
      <w:pPr>
        <w:pStyle w:val="ListBullet"/>
        <w:spacing w:after="40"/>
      </w:pPr>
      <w:r>
        <w:t>Patient → OTP → dashboard.</w:t>
      </w:r>
    </w:p>
    <w:p>
      <w:pPr>
        <w:pStyle w:val="ListBullet"/>
        <w:spacing w:after="40"/>
      </w:pPr>
      <w:r>
        <w:t>Professional → verification → role dashboard.</w:t>
      </w:r>
    </w:p>
    <w:p>
      <w:pPr>
        <w:pStyle w:val="ListBullet"/>
        <w:spacing w:after="40"/>
      </w:pPr>
      <w:r>
        <w:t>ASHA → offline visit → reconnect → sync.</w:t>
      </w:r>
    </w:p>
    <w:p>
      <w:pPr>
        <w:pStyle w:val="ListBullet"/>
        <w:spacing w:after="40"/>
      </w:pPr>
      <w:r>
        <w:t>ASHA → referral → receiving facility.</w:t>
      </w:r>
    </w:p>
    <w:p>
      <w:pPr>
        <w:pStyle w:val="ListBullet"/>
        <w:spacing w:after="40"/>
      </w:pPr>
      <w:r>
        <w:t>Doctor → consultation → follow-up.</w:t>
      </w:r>
    </w:p>
    <w:p>
      <w:pPr>
        <w:pStyle w:val="ListBullet"/>
        <w:spacing w:after="40"/>
      </w:pPr>
      <w:r>
        <w:t>Pharmacist → stock-out → escalation.</w:t>
      </w:r>
    </w:p>
    <w:p>
      <w:pPr>
        <w:pStyle w:val="ListBullet"/>
        <w:spacing w:after="40"/>
      </w:pPr>
      <w:r>
        <w:t>Lab → outage → facility/DHO visibility.</w:t>
      </w:r>
    </w:p>
    <w:p>
      <w:pPr>
        <w:pStyle w:val="ListBullet"/>
        <w:spacing w:after="40"/>
      </w:pPr>
      <w:r>
        <w:t>Facility Owner → add professional → review workflow.</w:t>
      </w:r>
    </w:p>
    <w:p>
      <w:pPr>
        <w:pStyle w:val="ListBullet"/>
        <w:spacing w:after="40"/>
      </w:pPr>
      <w:r>
        <w:t>DHO → instruction → facility acknowledgement → completion.</w:t>
      </w:r>
    </w:p>
    <w:p>
      <w:pPr>
        <w:pStyle w:val="Heading1"/>
      </w:pPr>
      <w:r>
        <w:t>24. Deployment Strategy</w:t>
      </w:r>
    </w:p>
    <w:p>
      <w:pPr>
        <w:jc w:val="center"/>
      </w:pPr>
      <w:r>
        <w:rPr>
          <w:b/>
          <w:sz w:val="26"/>
        </w:rPr>
        <w:t>Docker → Application → PostgreSQL + Redis + Object Storage</w:t>
      </w:r>
    </w:p>
    <w:p>
      <w:pPr>
        <w:pStyle w:val="ListBullet"/>
        <w:spacing w:after="40"/>
      </w:pPr>
      <w:r>
        <w:t>Containerize the application and workers.</w:t>
      </w:r>
    </w:p>
    <w:p>
      <w:pPr>
        <w:pStyle w:val="ListBullet"/>
        <w:spacing w:after="40"/>
      </w:pPr>
      <w:r>
        <w:t>Use managed PostgreSQL for the production database where available.</w:t>
      </w:r>
    </w:p>
    <w:p>
      <w:pPr>
        <w:pStyle w:val="ListBullet"/>
        <w:spacing w:after="40"/>
      </w:pPr>
      <w:r>
        <w:t>Use managed Redis for queues/caching where available.</w:t>
      </w:r>
    </w:p>
    <w:p>
      <w:pPr>
        <w:pStyle w:val="ListBullet"/>
        <w:spacing w:after="40"/>
      </w:pPr>
      <w:r>
        <w:t>Use S3-compatible object storage for files.</w:t>
      </w:r>
    </w:p>
    <w:p>
      <w:pPr>
        <w:pStyle w:val="ListBullet"/>
        <w:spacing w:after="40"/>
      </w:pPr>
      <w:r>
        <w:t>Use CI/CD for automated tests, builds and deployments.</w:t>
      </w:r>
    </w:p>
    <w:p>
      <w:pPr>
        <w:pStyle w:val="ListBullet"/>
        <w:spacing w:after="40"/>
      </w:pPr>
      <w:r>
        <w:t>Maintain separate development, staging and production environments.</w:t>
      </w:r>
    </w:p>
    <w:p>
      <w:pPr>
        <w:pStyle w:val="Heading1"/>
      </w:pPr>
      <w:r>
        <w:t>25. Environment &amp; Configuration</w:t>
      </w:r>
    </w:p>
    <w:p>
      <w:pPr>
        <w:pStyle w:val="ListBullet"/>
        <w:spacing w:after="40"/>
      </w:pPr>
      <w:r>
        <w:t>Never commit secrets.</w:t>
      </w:r>
    </w:p>
    <w:p>
      <w:pPr>
        <w:pStyle w:val="ListBullet"/>
        <w:spacing w:after="40"/>
      </w:pPr>
      <w:r>
        <w:t>Separate environment variables by deployment environment.</w:t>
      </w:r>
    </w:p>
    <w:p>
      <w:pPr>
        <w:pStyle w:val="ListBullet"/>
        <w:spacing w:after="40"/>
      </w:pPr>
      <w:r>
        <w:t>Keep provider credentials outside the repository.</w:t>
      </w:r>
    </w:p>
    <w:p>
      <w:pPr>
        <w:pStyle w:val="ListBullet"/>
        <w:spacing w:after="40"/>
      </w:pPr>
      <w:r>
        <w:t>Use feature flags only where they materially reduce deployment risk.</w:t>
      </w:r>
    </w:p>
    <w:p>
      <w:pPr>
        <w:pStyle w:val="ListBullet"/>
        <w:spacing w:after="40"/>
      </w:pPr>
      <w:r>
        <w:t>Keep production configuration auditable.</w:t>
      </w:r>
    </w:p>
    <w:p>
      <w:pPr>
        <w:pStyle w:val="Heading1"/>
      </w:pPr>
      <w:r>
        <w:t>26. Why This Stack</w:t>
      </w:r>
    </w:p>
    <w:tbl>
      <w:tblPr>
        <w:tblStyle w:val="TableGrid"/>
        <w:tblW w:type="auto" w:w="0"/>
        <w:jc w:val="center"/>
        <w:tblLook w:firstColumn="1" w:firstRow="1" w:lastColumn="0" w:lastRow="0" w:noHBand="0" w:noVBand="1" w:val="04A0"/>
      </w:tblPr>
      <w:tblGrid>
        <w:gridCol w:w="5040"/>
        <w:gridCol w:w="5040"/>
      </w:tblGrid>
      <w:tr>
        <w:tc>
          <w:tcPr>
            <w:tcW w:type="dxa" w:w="5040"/>
            <w:shd w:fill="DDEFEA"/>
          </w:tcPr>
          <w:p>
            <w:r>
              <w:rPr>
                <w:b/>
                <w:sz w:val="18"/>
              </w:rPr>
              <w:t>Decision</w:t>
            </w:r>
          </w:p>
        </w:tc>
        <w:tc>
          <w:tcPr>
            <w:tcW w:type="dxa" w:w="5040"/>
            <w:shd w:fill="DDEFEA"/>
          </w:tcPr>
          <w:p>
            <w:r>
              <w:rPr>
                <w:b/>
                <w:sz w:val="18"/>
              </w:rPr>
              <w:t>Reason</w:t>
            </w:r>
          </w:p>
        </w:tc>
      </w:tr>
      <w:tr>
        <w:tc>
          <w:tcPr>
            <w:tcW w:type="dxa" w:w="5040"/>
            <w:vAlign w:val="center"/>
          </w:tcPr>
          <w:p>
            <w:r>
              <w:rPr>
                <w:sz w:val="18"/>
              </w:rPr>
              <w:t>Next.js + TypeScript</w:t>
            </w:r>
          </w:p>
        </w:tc>
        <w:tc>
          <w:tcPr>
            <w:tcW w:type="dxa" w:w="5040"/>
            <w:vAlign w:val="center"/>
          </w:tcPr>
          <w:p>
            <w:r>
              <w:rPr>
                <w:sz w:val="18"/>
              </w:rPr>
              <w:t>One coherent application for many role surfaces with strong type safety</w:t>
            </w:r>
          </w:p>
        </w:tc>
      </w:tr>
      <w:tr>
        <w:tc>
          <w:tcPr>
            <w:tcW w:type="dxa" w:w="5040"/>
            <w:vAlign w:val="center"/>
          </w:tcPr>
          <w:p>
            <w:r>
              <w:rPr>
                <w:sz w:val="18"/>
              </w:rPr>
              <w:t>PostgreSQL</w:t>
            </w:r>
          </w:p>
        </w:tc>
        <w:tc>
          <w:tcPr>
            <w:tcW w:type="dxa" w:w="5040"/>
            <w:vAlign w:val="center"/>
          </w:tcPr>
          <w:p>
            <w:r>
              <w:rPr>
                <w:sz w:val="18"/>
              </w:rPr>
              <w:t>Excellent fit for relational healthcare workflows and transactional integrity</w:t>
            </w:r>
          </w:p>
        </w:tc>
      </w:tr>
      <w:tr>
        <w:tc>
          <w:tcPr>
            <w:tcW w:type="dxa" w:w="5040"/>
            <w:vAlign w:val="center"/>
          </w:tcPr>
          <w:p>
            <w:r>
              <w:rPr>
                <w:sz w:val="18"/>
              </w:rPr>
              <w:t>Prisma</w:t>
            </w:r>
          </w:p>
        </w:tc>
        <w:tc>
          <w:tcPr>
            <w:tcW w:type="dxa" w:w="5040"/>
            <w:vAlign w:val="center"/>
          </w:tcPr>
          <w:p>
            <w:r>
              <w:rPr>
                <w:sz w:val="18"/>
              </w:rPr>
              <w:t>Developer productivity and typed database access</w:t>
            </w:r>
          </w:p>
        </w:tc>
      </w:tr>
      <w:tr>
        <w:tc>
          <w:tcPr>
            <w:tcW w:type="dxa" w:w="5040"/>
            <w:vAlign w:val="center"/>
          </w:tcPr>
          <w:p>
            <w:r>
              <w:rPr>
                <w:sz w:val="18"/>
              </w:rPr>
              <w:t>RBAC + scope</w:t>
            </w:r>
          </w:p>
        </w:tc>
        <w:tc>
          <w:tcPr>
            <w:tcW w:type="dxa" w:w="5040"/>
            <w:vAlign w:val="center"/>
          </w:tcPr>
          <w:p>
            <w:r>
              <w:rPr>
                <w:sz w:val="18"/>
              </w:rPr>
              <w:t>Matches Setu's district → facility → worker hierarchy</w:t>
            </w:r>
          </w:p>
        </w:tc>
      </w:tr>
      <w:tr>
        <w:tc>
          <w:tcPr>
            <w:tcW w:type="dxa" w:w="5040"/>
            <w:vAlign w:val="center"/>
          </w:tcPr>
          <w:p>
            <w:r>
              <w:rPr>
                <w:sz w:val="18"/>
              </w:rPr>
              <w:t>Dexie + IndexedDB</w:t>
            </w:r>
          </w:p>
        </w:tc>
        <w:tc>
          <w:tcPr>
            <w:tcW w:type="dxa" w:w="5040"/>
            <w:vAlign w:val="center"/>
          </w:tcPr>
          <w:p>
            <w:r>
              <w:rPr>
                <w:sz w:val="18"/>
              </w:rPr>
              <w:t>Practical browser-side offline storage for ASHA field work</w:t>
            </w:r>
          </w:p>
        </w:tc>
      </w:tr>
      <w:tr>
        <w:tc>
          <w:tcPr>
            <w:tcW w:type="dxa" w:w="5040"/>
            <w:vAlign w:val="center"/>
          </w:tcPr>
          <w:p>
            <w:r>
              <w:rPr>
                <w:sz w:val="18"/>
              </w:rPr>
              <w:t>Redis + BullMQ</w:t>
            </w:r>
          </w:p>
        </w:tc>
        <w:tc>
          <w:tcPr>
            <w:tcW w:type="dxa" w:w="5040"/>
            <w:vAlign w:val="center"/>
          </w:tcPr>
          <w:p>
            <w:r>
              <w:rPr>
                <w:sz w:val="18"/>
              </w:rPr>
              <w:t>Reliable asynchronous jobs without prematurely adopting microservices</w:t>
            </w:r>
          </w:p>
        </w:tc>
      </w:tr>
      <w:tr>
        <w:tc>
          <w:tcPr>
            <w:tcW w:type="dxa" w:w="5040"/>
            <w:vAlign w:val="center"/>
          </w:tcPr>
          <w:p>
            <w:r>
              <w:rPr>
                <w:sz w:val="18"/>
              </w:rPr>
              <w:t>Recharts</w:t>
            </w:r>
          </w:p>
        </w:tc>
        <w:tc>
          <w:tcPr>
            <w:tcW w:type="dxa" w:w="5040"/>
            <w:vAlign w:val="center"/>
          </w:tcPr>
          <w:p>
            <w:r>
              <w:rPr>
                <w:sz w:val="18"/>
              </w:rPr>
              <w:t>Sufficient for credible government analytics without heavy visualization infrastructure</w:t>
            </w:r>
          </w:p>
        </w:tc>
      </w:tr>
      <w:tr>
        <w:tc>
          <w:tcPr>
            <w:tcW w:type="dxa" w:w="5040"/>
            <w:vAlign w:val="center"/>
          </w:tcPr>
          <w:p>
            <w:r>
              <w:rPr>
                <w:sz w:val="18"/>
              </w:rPr>
              <w:t>Docker</w:t>
            </w:r>
          </w:p>
        </w:tc>
        <w:tc>
          <w:tcPr>
            <w:tcW w:type="dxa" w:w="5040"/>
            <w:vAlign w:val="center"/>
          </w:tcPr>
          <w:p>
            <w:r>
              <w:rPr>
                <w:sz w:val="18"/>
              </w:rPr>
              <w:t>Portable deployment and consistent environments</w:t>
            </w:r>
          </w:p>
        </w:tc>
      </w:tr>
    </w:tbl>
    <w:p>
      <w:pPr>
        <w:pStyle w:val="Heading1"/>
      </w:pPr>
      <w:r>
        <w:t>27. Technologies Deliberately Deferred</w:t>
      </w:r>
    </w:p>
    <w:p>
      <w:pPr>
        <w:pStyle w:val="ListBullet"/>
        <w:spacing w:after="40"/>
      </w:pPr>
      <w:r>
        <w:t>Kubernetes — unnecessary complexity for the initial MVP unless deployment scale requires it.</w:t>
      </w:r>
    </w:p>
    <w:p>
      <w:pPr>
        <w:pStyle w:val="ListBullet"/>
        <w:spacing w:after="40"/>
      </w:pPr>
      <w:r>
        <w:t>Microservices — keep a modular monolith until real scaling/team boundaries justify extraction.</w:t>
      </w:r>
    </w:p>
    <w:p>
      <w:pPr>
        <w:pStyle w:val="ListBullet"/>
        <w:spacing w:after="40"/>
      </w:pPr>
      <w:r>
        <w:t>MongoDB — relational workflows make PostgreSQL the better default.</w:t>
      </w:r>
    </w:p>
    <w:p>
      <w:pPr>
        <w:pStyle w:val="ListBullet"/>
        <w:spacing w:after="40"/>
      </w:pPr>
      <w:r>
        <w:t>Kafka — not required for MVP event volume.</w:t>
      </w:r>
    </w:p>
    <w:p>
      <w:pPr>
        <w:pStyle w:val="ListBullet"/>
        <w:spacing w:after="40"/>
      </w:pPr>
      <w:r>
        <w:t>Elasticsearch/OpenSearch — PostgreSQL search is sufficient initially.</w:t>
      </w:r>
    </w:p>
    <w:p>
      <w:pPr>
        <w:pStyle w:val="ListBullet"/>
        <w:spacing w:after="40"/>
      </w:pPr>
      <w:r>
        <w:t>Heavy GIS — lightweight maps are enough for the district visualization MVP.</w:t>
      </w:r>
    </w:p>
    <w:p>
      <w:pPr>
        <w:pStyle w:val="ListBullet"/>
        <w:spacing w:after="40"/>
      </w:pPr>
      <w:r>
        <w:t>Complex event sourcing — audit logs + domain state machines are sufficient initially.</w:t>
      </w:r>
    </w:p>
    <w:p>
      <w:pPr>
        <w:pStyle w:val="Heading1"/>
      </w:pPr>
      <w:r>
        <w:t>28. Recommended Development Sequence</w:t>
      </w:r>
    </w:p>
    <w:p>
      <w:pPr>
        <w:pStyle w:val="ListNumber"/>
        <w:spacing w:after="40"/>
      </w:pPr>
      <w:r>
        <w:t>Establish design tokens and shared UI primitives.</w:t>
      </w:r>
    </w:p>
    <w:p>
      <w:pPr>
        <w:pStyle w:val="ListNumber"/>
        <w:spacing w:after="40"/>
      </w:pPr>
      <w:r>
        <w:t>Implement identity/authentication and role/scope authorization.</w:t>
      </w:r>
    </w:p>
    <w:p>
      <w:pPr>
        <w:pStyle w:val="ListNumber"/>
        <w:spacing w:after="40"/>
      </w:pPr>
      <w:r>
        <w:t>Implement core database schema and migrations.</w:t>
      </w:r>
    </w:p>
    <w:p>
      <w:pPr>
        <w:pStyle w:val="ListNumber"/>
        <w:spacing w:after="40"/>
      </w:pPr>
      <w:r>
        <w:t>Build shared domain services.</w:t>
      </w:r>
    </w:p>
    <w:p>
      <w:pPr>
        <w:pStyle w:val="ListNumber"/>
        <w:spacing w:after="40"/>
      </w:pPr>
      <w:r>
        <w:t>Build landing + unified authentication.</w:t>
      </w:r>
    </w:p>
    <w:p>
      <w:pPr>
        <w:pStyle w:val="ListNumber"/>
        <w:spacing w:after="40"/>
      </w:pPr>
      <w:r>
        <w:t>Build Patient dashboard.</w:t>
      </w:r>
    </w:p>
    <w:p>
      <w:pPr>
        <w:pStyle w:val="ListNumber"/>
        <w:spacing w:after="40"/>
      </w:pPr>
      <w:r>
        <w:t>Build ASHA dashboard + offline sync foundation.</w:t>
      </w:r>
    </w:p>
    <w:p>
      <w:pPr>
        <w:pStyle w:val="ListNumber"/>
        <w:spacing w:after="40"/>
      </w:pPr>
      <w:r>
        <w:t>Build CHO/MO and clinical workflows.</w:t>
      </w:r>
    </w:p>
    <w:p>
      <w:pPr>
        <w:pStyle w:val="ListNumber"/>
        <w:spacing w:after="40"/>
      </w:pPr>
      <w:r>
        <w:t>Build Doctor/Specialist workflows.</w:t>
      </w:r>
    </w:p>
    <w:p>
      <w:pPr>
        <w:pStyle w:val="ListNumber"/>
        <w:spacing w:after="40"/>
      </w:pPr>
      <w:r>
        <w:t>Build Pharmacy and Laboratory workflows.</w:t>
      </w:r>
    </w:p>
    <w:p>
      <w:pPr>
        <w:pStyle w:val="ListNumber"/>
        <w:spacing w:after="40"/>
      </w:pPr>
      <w:r>
        <w:t>Build Facility Owner management.</w:t>
      </w:r>
    </w:p>
    <w:p>
      <w:pPr>
        <w:pStyle w:val="ListNumber"/>
        <w:spacing w:after="40"/>
      </w:pPr>
      <w:r>
        <w:t>Build DHO analytics and accountability.</w:t>
      </w:r>
    </w:p>
    <w:p>
      <w:pPr>
        <w:pStyle w:val="ListNumber"/>
        <w:spacing w:after="40"/>
      </w:pPr>
      <w:r>
        <w:t>Connect alerts, tasks, requirements, content and notifications.</w:t>
      </w:r>
    </w:p>
    <w:p>
      <w:pPr>
        <w:pStyle w:val="ListNumber"/>
        <w:spacing w:after="40"/>
      </w:pPr>
      <w:r>
        <w:t>Complete security, accessibility, multilingual, offline and performance hardening.</w:t>
      </w:r>
    </w:p>
    <w:p>
      <w:pPr>
        <w:pStyle w:val="Heading1"/>
      </w:pPr>
      <w:r>
        <w:t>29. Technical Non-Goals for MVP</w:t>
      </w:r>
    </w:p>
    <w:p>
      <w:pPr>
        <w:pStyle w:val="ListBullet"/>
        <w:spacing w:after="40"/>
      </w:pPr>
      <w:r>
        <w:t>No separate backend for each role.</w:t>
      </w:r>
    </w:p>
    <w:p>
      <w:pPr>
        <w:pStyle w:val="ListBullet"/>
        <w:spacing w:after="40"/>
      </w:pPr>
      <w:r>
        <w:t>No separate database for each role.</w:t>
      </w:r>
    </w:p>
    <w:p>
      <w:pPr>
        <w:pStyle w:val="ListBullet"/>
        <w:spacing w:after="40"/>
      </w:pPr>
      <w:r>
        <w:t>No unrestricted role self-selection.</w:t>
      </w:r>
    </w:p>
    <w:p>
      <w:pPr>
        <w:pStyle w:val="ListBullet"/>
        <w:spacing w:after="40"/>
      </w:pPr>
      <w:r>
        <w:t>No heavyweight analytics platform unless PostgreSQL/Recharts proves insufficient.</w:t>
      </w:r>
    </w:p>
    <w:p>
      <w:pPr>
        <w:pStyle w:val="ListBullet"/>
        <w:spacing w:after="40"/>
      </w:pPr>
      <w:r>
        <w:t>No heavy GIS stack.</w:t>
      </w:r>
    </w:p>
    <w:p>
      <w:pPr>
        <w:pStyle w:val="ListBullet"/>
        <w:spacing w:after="40"/>
      </w:pPr>
      <w:r>
        <w:t>No unnecessary real-time infrastructure everywhere; use it only where operationally justified.</w:t>
      </w:r>
    </w:p>
    <w:p>
      <w:pPr>
        <w:pStyle w:val="ListBullet"/>
        <w:spacing w:after="40"/>
      </w:pPr>
      <w:r>
        <w:t>No AI feature should be added merely because the product is branded as an AI-enabled healthcare platform. AI must have a validated clinical/operational use case and appropriate safety controls.</w:t>
      </w:r>
    </w:p>
    <w:p>
      <w:pPr>
        <w:pStyle w:val="Heading1"/>
      </w:pPr>
      <w:r>
        <w:t>30. Final Architecture Decision</w:t>
      </w:r>
    </w:p>
    <w:p>
      <w:r>
        <w:t>The recommended Setu architecture is a TypeScript-first, modular monolith built with Next.js, PostgreSQL and Prisma, with Redis/BullMQ for asynchronous work and IndexedDB/Dexie for field offline capability. Role-specific dashboards sit on top of shared healthcare domains and a strict RBAC + scope authorization layer.</w:t>
      </w:r>
    </w:p>
    <w:p>
      <w:pPr>
        <w:jc w:val="center"/>
      </w:pPr>
      <w:r>
        <w:rPr>
          <w:b/>
        </w:rPr>
        <w:t>Frontend: Next.js + TypeScript + Tailwind + shadcn/ui</w:t>
      </w:r>
    </w:p>
    <w:p>
      <w:pPr>
        <w:jc w:val="center"/>
      </w:pPr>
      <w:r>
        <w:rPr>
          <w:b/>
        </w:rPr>
        <w:t>Data: PostgreSQL + Prisma</w:t>
      </w:r>
    </w:p>
    <w:p>
      <w:pPr>
        <w:jc w:val="center"/>
      </w:pPr>
      <w:r>
        <w:rPr>
          <w:b/>
        </w:rPr>
        <w:t>Security: OTP + Verification + RBAC + Scope + Audit</w:t>
      </w:r>
    </w:p>
    <w:p>
      <w:pPr>
        <w:jc w:val="center"/>
      </w:pPr>
      <w:r>
        <w:rPr>
          <w:b/>
        </w:rPr>
        <w:t>Field: IndexedDB + Dexie + PWA + Sync Queue</w:t>
      </w:r>
    </w:p>
    <w:p>
      <w:pPr>
        <w:jc w:val="center"/>
      </w:pPr>
      <w:r>
        <w:rPr>
          <w:b/>
        </w:rPr>
        <w:t>Jobs: Redis + BullMQ</w:t>
      </w:r>
    </w:p>
    <w:p>
      <w:pPr>
        <w:pStyle w:val="Heading1"/>
      </w:pPr>
      <w:r>
        <w:t>Appendix — Architecture Checklist</w:t>
      </w:r>
    </w:p>
    <w:p>
      <w:pPr>
        <w:pStyle w:val="ListBullet"/>
        <w:spacing w:after="40"/>
      </w:pPr>
      <w:r>
        <w:t>□ Shared Setu design tokens established</w:t>
      </w:r>
    </w:p>
    <w:p>
      <w:pPr>
        <w:pStyle w:val="ListBullet"/>
        <w:spacing w:after="40"/>
      </w:pPr>
      <w:r>
        <w:t>□ Role matrix approved</w:t>
      </w:r>
    </w:p>
    <w:p>
      <w:pPr>
        <w:pStyle w:val="ListBullet"/>
        <w:spacing w:after="40"/>
      </w:pPr>
      <w:r>
        <w:t>□ Scope hierarchy approved</w:t>
      </w:r>
    </w:p>
    <w:p>
      <w:pPr>
        <w:pStyle w:val="ListBullet"/>
        <w:spacing w:after="40"/>
      </w:pPr>
      <w:r>
        <w:t>□ Professional verification sources confirmed</w:t>
      </w:r>
    </w:p>
    <w:p>
      <w:pPr>
        <w:pStyle w:val="ListBullet"/>
        <w:spacing w:after="40"/>
      </w:pPr>
      <w:r>
        <w:t>□ Database schema reviewed</w:t>
      </w:r>
    </w:p>
    <w:p>
      <w:pPr>
        <w:pStyle w:val="ListBullet"/>
        <w:spacing w:after="40"/>
      </w:pPr>
      <w:r>
        <w:t>□ Patient privacy boundaries confirmed</w:t>
      </w:r>
    </w:p>
    <w:p>
      <w:pPr>
        <w:pStyle w:val="ListBullet"/>
        <w:spacing w:after="40"/>
      </w:pPr>
      <w:r>
        <w:t>□ Offline data policy confirmed</w:t>
      </w:r>
    </w:p>
    <w:p>
      <w:pPr>
        <w:pStyle w:val="ListBullet"/>
        <w:spacing w:after="40"/>
      </w:pPr>
      <w:r>
        <w:t>□ Emergency escalation channels confirmed</w:t>
      </w:r>
    </w:p>
    <w:p>
      <w:pPr>
        <w:pStyle w:val="ListBullet"/>
        <w:spacing w:after="40"/>
      </w:pPr>
      <w:r>
        <w:t>□ SMS/OTP provider confirmed</w:t>
      </w:r>
    </w:p>
    <w:p>
      <w:pPr>
        <w:pStyle w:val="ListBullet"/>
        <w:spacing w:after="40"/>
      </w:pPr>
      <w:r>
        <w:t>□ Production hosting/security requirements confirmed</w:t>
      </w:r>
    </w:p>
    <w:p>
      <w:pPr>
        <w:pStyle w:val="ListBullet"/>
        <w:spacing w:after="40"/>
      </w:pPr>
      <w:r>
        <w:t>□ Audit and retention requirements confirmed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