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Generative Brand Equity: Auditing How AI Answers Represent Indian D2C Brands</w:t>
      </w:r>
    </w:p>
    <w:p>
      <w:pPr>
        <w:spacing w:after="80"/>
        <w:jc w:val="center"/>
      </w:pPr>
      <w:r>
        <w:rPr>
          <w:rFonts w:ascii="Times New Roman" w:cs="Times New Roman" w:eastAsia="Times New Roman" w:hAnsi="Times New Roman"/>
          <w:sz w:val="24"/>
          <w:szCs w:val="24"/>
        </w:rPr>
        <w:t xml:space="preserve">[Author 1], [Author 2], [Author 3], [Faculty guide]</w:t>
      </w:r>
    </w:p>
    <w:p>
      <w:pPr>
        <w:spacing w:after="80"/>
        <w:jc w:val="center"/>
      </w:pPr>
      <w:r>
        <w:rPr>
          <w:rFonts w:ascii="Times New Roman" w:cs="Times New Roman" w:eastAsia="Times New Roman" w:hAnsi="Times New Roman"/>
          <w:sz w:val="24"/>
          <w:szCs w:val="24"/>
        </w:rPr>
        <w:t xml:space="preserve">Mukesh Patel School of Technology Management and Engineering, SVKM's NMIMS, Mumbai, India</w:t>
      </w:r>
    </w:p>
    <w:p>
      <w:pPr>
        <w:pStyle w:val="Heading1"/>
        <w:keepNext/>
        <w:spacing w:after="140" w:before="360"/>
      </w:pPr>
      <w:r>
        <w:rPr>
          <w:rFonts w:ascii="Times New Roman" w:cs="Times New Roman" w:eastAsia="Times New Roman" w:hAnsi="Times New Roman"/>
          <w:b/>
          <w:bCs/>
          <w:color w:val="000000"/>
          <w:sz w:val="26"/>
          <w:szCs w:val="26"/>
        </w:rPr>
        <w:t xml:space="preserve">ABSTRACT</w:t>
      </w:r>
    </w:p>
    <w:p>
      <w:pPr>
        <w:spacing w:after="160" w:line="300"/>
        <w:jc w:val="both"/>
      </w:pPr>
      <w:r>
        <w:rPr>
          <w:rFonts w:ascii="Times New Roman" w:cs="Times New Roman" w:eastAsia="Times New Roman" w:hAnsi="Times New Roman"/>
          <w:color w:val="7F6000"/>
          <w:sz w:val="24"/>
          <w:szCs w:val="24"/>
        </w:rPr>
        <w:t xml:space="preserve">[ABSTRACT: written after the audit; 100 to 150 words, third person.]</w:t>
      </w:r>
    </w:p>
    <w:p>
      <w:pPr>
        <w:spacing w:after="160" w:line="30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Generative Engine Optimisation, Brand Visibility, Consumer-Based Brand Equity, Share-of-Model, AI Search, Algorithm Audit, D2C Brands, India, Emerging Markets</w:t>
      </w:r>
    </w:p>
    <w:p>
      <w:pPr>
        <w:pStyle w:val="Heading1"/>
        <w:keepNext/>
        <w:spacing w:after="140" w:before="360"/>
      </w:pPr>
      <w:r>
        <w:rPr>
          <w:rFonts w:ascii="Times New Roman" w:cs="Times New Roman" w:eastAsia="Times New Roman" w:hAnsi="Times New Roman"/>
          <w:b/>
          <w:bCs/>
          <w:color w:val="000000"/>
          <w:sz w:val="26"/>
          <w:szCs w:val="26"/>
        </w:rPr>
        <w:t xml:space="preserve">INTRODUCTION</w:t>
      </w:r>
    </w:p>
    <w:p>
      <w:pPr>
        <w:spacing w:after="160" w:line="300"/>
        <w:jc w:val="both"/>
      </w:pPr>
      <w:r>
        <w:rPr>
          <w:rFonts w:ascii="Times New Roman" w:cs="Times New Roman" w:eastAsia="Times New Roman" w:hAnsi="Times New Roman"/>
          <w:sz w:val="24"/>
          <w:szCs w:val="24"/>
        </w:rPr>
        <w:t xml:space="preserve">For roughly two decades, online brand discovery ran on a list. A shopper typed a query, a search engine returned ranked links, and brands competed for position through search engine optimisation, paid search and marketplace advertising. The arrangement was imperfect, but it was legible. A brand could see where it ranked, buy its way onto the page and follow the consequences through clicks and conversions. Even a shopper who never clicked had at least seen the brand name on the results page.</w:t>
      </w:r>
    </w:p>
    <w:p>
      <w:pPr>
        <w:spacing w:after="160" w:line="300"/>
        <w:jc w:val="both"/>
      </w:pPr>
      <w:r>
        <w:rPr>
          <w:rFonts w:ascii="Times New Roman" w:cs="Times New Roman" w:eastAsia="Times New Roman" w:hAnsi="Times New Roman"/>
          <w:sz w:val="24"/>
          <w:szCs w:val="24"/>
        </w:rPr>
        <w:t xml:space="preserve">Generative AI systems change that arrangement. Ask ChatGPT, Gemini or Perplexity for a vitamin C serum for oily skin under Rs. 1,000 and the reply is a few paragraphs naming perhaps three to six products, each with a line or two of justification and, on some platforms, a handful of source links. Google's AI Overviews place a similar synthesised paragraph above the familiar results. These answers appear to absorb attention that once went to the links below them. In a panel of United States users observed in March 2025, Google searches that displayed an AI summary led to a click on a traditional result in 8% of visits, against 15% when no summary appeared. Links inside the summary itself were clicked in 1% of visits (Chapekis &amp; Lieb, 2025). The first reader of brand content is increasingly a retrieval-and-synthesis pipeline, and the shopper meets the brand, if at all, through that pipeline's summary.</w:t>
      </w:r>
    </w:p>
    <w:p>
      <w:pPr>
        <w:spacing w:after="160" w:line="300"/>
        <w:jc w:val="both"/>
      </w:pPr>
      <w:r>
        <w:rPr>
          <w:rFonts w:ascii="Times New Roman" w:cs="Times New Roman" w:eastAsia="Times New Roman" w:hAnsi="Times New Roman"/>
          <w:sz w:val="24"/>
          <w:szCs w:val="24"/>
        </w:rPr>
        <w:t xml:space="preserve">India is a consequential place to study this shift. OpenAI's chief executive has described India as the company's second-largest market after the United States, and from November 2025 the company offered its ChatGPT Go plan free for a year to users in India (Singh, 2025). Bharti Airtel offered a year of Perplexity Pro to its 360 million customers in July 2025 (Kohli, 2025), and Google's AI Overviews have appeared in Indian search results, in English and Hindi, since August 2024 (News On AIR, 2024). The platform providers are, in effect, competing to become the default first stop for a very large population of new and price-conscious online shoppers.</w:t>
      </w:r>
    </w:p>
    <w:p>
      <w:pPr>
        <w:spacing w:after="160" w:line="300"/>
        <w:jc w:val="both"/>
      </w:pPr>
      <w:r>
        <w:rPr>
          <w:rFonts w:ascii="Times New Roman" w:cs="Times New Roman" w:eastAsia="Times New Roman" w:hAnsi="Times New Roman"/>
          <w:sz w:val="24"/>
          <w:szCs w:val="24"/>
        </w:rPr>
        <w:t xml:space="preserve">The shift unsettles assumptions that sit deep in marketing theory. Consumer-based brand equity rests on brand knowledge that consumers build through exposure the firm can shape, much of it through the firm's own communication (Keller, 1993). The mental availability perspective holds that brands grow by coming to mind easily in buying situations (Romaniuk &amp; Sharp, 2016; Sharp, 2010), and consideration set research shows that what is recalled at the point of decision constrains what is chosen (Nedungadi, 1990; Shocker et al., 1991). Under generative mediation the order changes. A model's retrieval precedes the shopper's recall, and the model's few sentences about a brand may be the first, and sometimes the only, account of it that the shopper reads before deciding.</w:t>
      </w:r>
    </w:p>
    <w:p>
      <w:pPr>
        <w:spacing w:after="160" w:line="300"/>
        <w:jc w:val="both"/>
      </w:pPr>
      <w:r>
        <w:rPr>
          <w:rFonts w:ascii="Times New Roman" w:cs="Times New Roman" w:eastAsia="Times New Roman" w:hAnsi="Times New Roman"/>
          <w:sz w:val="24"/>
          <w:szCs w:val="24"/>
        </w:rPr>
        <w:t xml:space="preserve">The stakes are uneven. India's direct-to-consumer (D2C) sector is estimated to have grown from under US$5 billion in 2020 to between US$12 and 15 billion in 2025, and to include more than 800 active brands (Srivastava, 2026). Many of these brands, in personal care and consumer electronics especially, reached national scale through social media, influencers and marketplace listings rather than mass media. They compete with domestic and multinational incumbents that have decades of press coverage, reference entries and retail history behind them. Language models answer more reliably about entities that are well documented in their training data (Kandpal et al., 2023; Mallen et al., 2023), and early audits report a tilt towards large and global brands (Chen et al., 2025; Kamruzzaman et al., 2024). If generative systems lean on that kind of documentation, they may reproduce or widen the incumbents' advantage. If they lean instead on recent reviews, community discussion and marketplace content, the same systems could favour brands that were born online. Which of these is happening in India has not been examined.</w:t>
      </w:r>
    </w:p>
    <w:p>
      <w:pPr>
        <w:spacing w:after="160" w:line="300"/>
        <w:jc w:val="both"/>
      </w:pPr>
      <w:r>
        <w:rPr>
          <w:rFonts w:ascii="Times New Roman" w:cs="Times New Roman" w:eastAsia="Times New Roman" w:hAnsi="Times New Roman"/>
          <w:sz w:val="24"/>
          <w:szCs w:val="24"/>
        </w:rPr>
        <w:t xml:space="preserve">Research on the question has moved quickly but in separate streams. Computer scientists have formalised generative engine optimisation (GEO) and tested how changes to content affect citation (Aggarwal et al., 2024; Puerto et al., 2025). A wave of audit studies posted in 2026 has begun to measure which brands language models recommend (Jack et al., 2026; Malthouse et al., 2026; Marin et al., 2026). Marketing scholarship has mostly treated generative AI as a production tool, a strategic capability, a research method or an ethical problem (Grewal et al., 2025; Hartmann et al., 2025; Hermann &amp; Puntoni, 2025; Yoo et al., 2025). What is missing is a marketing construct that treats the model's representation of a brand as an outcome in its own right, connects it to established brand equity theory and measures it with an instrument that respects the non-deterministic behaviour of the systems involved. Evidence from emerging markets, and on challenger brands specifically, is close to absent.</w:t>
      </w:r>
    </w:p>
    <w:p>
      <w:pPr>
        <w:spacing w:after="160" w:line="300"/>
        <w:jc w:val="both"/>
      </w:pPr>
      <w:r>
        <w:rPr>
          <w:rFonts w:ascii="Times New Roman" w:cs="Times New Roman" w:eastAsia="Times New Roman" w:hAnsi="Times New Roman"/>
          <w:sz w:val="24"/>
          <w:szCs w:val="24"/>
        </w:rPr>
        <w:t xml:space="preserve">This chapter addresses that gap. Its objectives are to:</w:t>
      </w:r>
    </w:p>
    <w:p>
      <w:pPr>
        <w:pStyle w:val="ListParagraph"/>
        <w:numPr>
          <w:ilvl w:val="0"/>
          <w:numId w:val="2"/>
        </w:numPr>
        <w:spacing w:after="80" w:line="300"/>
        <w:jc w:val="both"/>
      </w:pPr>
      <w:r>
        <w:rPr>
          <w:rFonts w:ascii="Times New Roman" w:cs="Times New Roman" w:eastAsia="Times New Roman" w:hAnsi="Times New Roman"/>
          <w:sz w:val="24"/>
          <w:szCs w:val="24"/>
        </w:rPr>
        <w:t xml:space="preserve">conceptualise </w:t>
      </w:r>
      <w:r>
        <w:rPr>
          <w:rFonts w:ascii="Times New Roman" w:cs="Times New Roman" w:eastAsia="Times New Roman" w:hAnsi="Times New Roman"/>
          <w:b/>
          <w:bCs/>
          <w:sz w:val="24"/>
          <w:szCs w:val="24"/>
        </w:rPr>
        <w:t xml:space="preserve">Generative Brand Equity</w:t>
      </w:r>
      <w:r>
        <w:rPr>
          <w:rFonts w:ascii="Times New Roman" w:cs="Times New Roman" w:eastAsia="Times New Roman" w:hAnsi="Times New Roman"/>
          <w:sz w:val="24"/>
          <w:szCs w:val="24"/>
        </w:rPr>
        <w:t xml:space="preserve"> as an adaptation of consumer-based brand equity for settings in which a model performs the first filtering of brands;</w:t>
      </w:r>
    </w:p>
    <w:p>
      <w:pPr>
        <w:pStyle w:val="ListParagraph"/>
        <w:numPr>
          <w:ilvl w:val="0"/>
          <w:numId w:val="2"/>
        </w:numPr>
        <w:spacing w:after="80" w:line="300"/>
        <w:jc w:val="both"/>
      </w:pPr>
      <w:r>
        <w:rPr>
          <w:rFonts w:ascii="Times New Roman" w:cs="Times New Roman" w:eastAsia="Times New Roman" w:hAnsi="Times New Roman"/>
          <w:sz w:val="24"/>
          <w:szCs w:val="24"/>
        </w:rPr>
        <w:t xml:space="preserve">design a </w:t>
      </w:r>
      <w:r>
        <w:rPr>
          <w:rFonts w:ascii="Times New Roman" w:cs="Times New Roman" w:eastAsia="Times New Roman" w:hAnsi="Times New Roman"/>
          <w:b/>
          <w:bCs/>
          <w:sz w:val="24"/>
          <w:szCs w:val="24"/>
        </w:rPr>
        <w:t xml:space="preserve">replicable prompt-based audit protocol</w:t>
      </w:r>
      <w:r>
        <w:rPr>
          <w:rFonts w:ascii="Times New Roman" w:cs="Times New Roman" w:eastAsia="Times New Roman" w:hAnsi="Times New Roman"/>
          <w:sz w:val="24"/>
          <w:szCs w:val="24"/>
        </w:rPr>
        <w:t xml:space="preserve"> that measures run-to-run and cross-platform variation instead of averaging it away;</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apply the protocol to </w:t>
      </w:r>
      <w:r>
        <w:rPr>
          <w:rFonts w:ascii="Times New Roman" w:cs="Times New Roman" w:eastAsia="Times New Roman" w:hAnsi="Times New Roman"/>
          <w:b/>
          <w:bCs/>
          <w:sz w:val="24"/>
          <w:szCs w:val="24"/>
        </w:rPr>
        <w:t xml:space="preserve">six Indian D2C-origin brands and six incumbents</w:t>
      </w:r>
      <w:r>
        <w:rPr>
          <w:rFonts w:ascii="Times New Roman" w:cs="Times New Roman" w:eastAsia="Times New Roman" w:hAnsi="Times New Roman"/>
          <w:sz w:val="24"/>
          <w:szCs w:val="24"/>
        </w:rPr>
        <w:t xml:space="preserve"> in skincare and wireless earbuds across ChatGPT, Gemini, Perplexity and Google AI Overviews; and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derive </w:t>
      </w:r>
      <w:r>
        <w:rPr>
          <w:rFonts w:ascii="Times New Roman" w:cs="Times New Roman" w:eastAsia="Times New Roman" w:hAnsi="Times New Roman"/>
          <w:b/>
          <w:bCs/>
          <w:sz w:val="24"/>
          <w:szCs w:val="24"/>
        </w:rPr>
        <w:t xml:space="preserve">implications for managers, researchers and policymakers</w:t>
      </w:r>
      <w:r>
        <w:rPr>
          <w:rFonts w:ascii="Times New Roman" w:cs="Times New Roman" w:eastAsia="Times New Roman" w:hAnsi="Times New Roman"/>
          <w:sz w:val="24"/>
          <w:szCs w:val="24"/>
        </w:rPr>
        <w:t xml:space="preserve">, with particular attention to resource-constrained brands.</w:t>
      </w:r>
    </w:p>
    <w:p>
      <w:pPr>
        <w:spacing w:after="160" w:line="300"/>
        <w:jc w:val="both"/>
      </w:pPr>
      <w:r>
        <w:rPr>
          <w:rFonts w:ascii="Times New Roman" w:cs="Times New Roman" w:eastAsia="Times New Roman" w:hAnsi="Times New Roman"/>
          <w:sz w:val="24"/>
          <w:szCs w:val="24"/>
        </w:rPr>
        <w:t xml:space="preserve">The Background section reviews work on brand equity, salience and consideration, answer engines, what language models know about brands, GEO and recent audits, and then sets out the Indian D2C context and four research questions. The next section develops the Generative Brand Equity framework and its propositions. The Method section describes the audit, and the Findings section reports results by research question. The chapter then discusses what the results mean for theory, offers recommendations for brands and for governance, and closes with future research directions, limitations and conclusions.</w:t>
      </w:r>
    </w:p>
    <w:p>
      <w:pPr>
        <w:pStyle w:val="Heading1"/>
        <w:keepNext/>
        <w:spacing w:after="140" w:before="360"/>
      </w:pPr>
      <w:r>
        <w:rPr>
          <w:rFonts w:ascii="Times New Roman" w:cs="Times New Roman" w:eastAsia="Times New Roman" w:hAnsi="Times New Roman"/>
          <w:b/>
          <w:bCs/>
          <w:color w:val="000000"/>
          <w:sz w:val="26"/>
          <w:szCs w:val="26"/>
        </w:rPr>
        <w:t xml:space="preserve">BACKGROUND</w:t>
      </w:r>
    </w:p>
    <w:p>
      <w:pPr>
        <w:pStyle w:val="Heading2"/>
        <w:keepNext/>
        <w:spacing w:after="100" w:before="240"/>
      </w:pPr>
      <w:r>
        <w:rPr>
          <w:rFonts w:ascii="Times New Roman" w:cs="Times New Roman" w:eastAsia="Times New Roman" w:hAnsi="Times New Roman"/>
          <w:b/>
          <w:bCs/>
          <w:color w:val="000000"/>
          <w:sz w:val="24"/>
          <w:szCs w:val="24"/>
        </w:rPr>
        <w:t xml:space="preserve">Brand Equity and the Exposure Assumption</w:t>
      </w:r>
    </w:p>
    <w:p>
      <w:pPr>
        <w:spacing w:after="160" w:line="300"/>
        <w:jc w:val="both"/>
      </w:pPr>
      <w:r>
        <w:rPr>
          <w:rFonts w:ascii="Times New Roman" w:cs="Times New Roman" w:eastAsia="Times New Roman" w:hAnsi="Times New Roman"/>
          <w:sz w:val="24"/>
          <w:szCs w:val="24"/>
        </w:rPr>
        <w:t xml:space="preserve">Keller (1993) defined customer-based brand equity as the differential effect of brand knowledge on consumer response to the marketing of a brand. Brand knowledge has two parts: brand awareness, made up of recognition and recall, and brand image, the set of associations held in memory and characterised by their strength, favourability and uniqueness. Aaker (1991) described a similar set of assets and added perceived quality and loyalty. Later work extended the idea in a direction that matters here. Erdem and Swait (1998, 2004) showed that a brand works partly as a credible signal under uncertainty, so that consumers' belief in what the brand claims shapes both consideration and choice. Keller (2016) later reviewed the progress of the model and set out priorities for research as the marketing environment changed around it.</w:t>
      </w:r>
    </w:p>
    <w:p>
      <w:pPr>
        <w:spacing w:after="160" w:line="300"/>
        <w:jc w:val="both"/>
      </w:pPr>
      <w:r>
        <w:rPr>
          <w:rFonts w:ascii="Times New Roman" w:cs="Times New Roman" w:eastAsia="Times New Roman" w:hAnsi="Times New Roman"/>
          <w:sz w:val="24"/>
          <w:szCs w:val="24"/>
        </w:rPr>
        <w:t xml:space="preserve">That mechanism is exposure. Advertising, packaging, retail presence, word of mouth and use experience put the brand, or content about it, in front of the consumer, and the firm can influence most of those encounters. Hierarchy-of-effects models make the same assumption: consumers move from awareness through knowledge and liking towards purchase as communications reach them (Lavidge &amp; Steiner, 1961). Digital marketing widened the set of encounters without changing their nature (Kannan &amp; Li, 2017). Search advertising placed brands in front of consumers at the moment of intent, and online reviews became a strong form of mediated word of mouth (Chevalier &amp; Mayzlin, 2006; Dellarocas, 2003). In each case the consumer still met the brand, or a particular person's account of it, directly.</w:t>
      </w:r>
    </w:p>
    <w:p>
      <w:pPr>
        <w:spacing w:after="160" w:line="300"/>
        <w:jc w:val="both"/>
      </w:pPr>
      <w:r>
        <w:rPr>
          <w:rFonts w:ascii="Times New Roman" w:cs="Times New Roman" w:eastAsia="Times New Roman" w:hAnsi="Times New Roman"/>
          <w:sz w:val="24"/>
          <w:szCs w:val="24"/>
        </w:rPr>
        <w:t xml:space="preserve">Generative answers weaken this assumption in a specific way. They resemble word of mouth, in that someone other than the firm supplies the description, yet they differ from it twice over. The account is a single synthesis rather than many independent voices, so disagreement among reviewers is often compressed into one confident sentence. And the sources behind it are partly hidden: a shopper can read a review and judge its author, whereas a model's description blends sources that may or may not be displayed. The firm neither writes the description nor, in most cases, knows what it says.</w:t>
      </w:r>
    </w:p>
    <w:p>
      <w:pPr>
        <w:pStyle w:val="Heading2"/>
        <w:keepNext/>
        <w:spacing w:after="100" w:before="240"/>
      </w:pPr>
      <w:r>
        <w:rPr>
          <w:rFonts w:ascii="Times New Roman" w:cs="Times New Roman" w:eastAsia="Times New Roman" w:hAnsi="Times New Roman"/>
          <w:b/>
          <w:bCs/>
          <w:color w:val="000000"/>
          <w:sz w:val="24"/>
          <w:szCs w:val="24"/>
        </w:rPr>
        <w:t xml:space="preserve">Salience, Consideration and Delegated Choice</w:t>
      </w:r>
    </w:p>
    <w:p>
      <w:pPr>
        <w:spacing w:after="160" w:line="300"/>
        <w:jc w:val="both"/>
      </w:pPr>
      <w:r>
        <w:rPr>
          <w:rFonts w:ascii="Times New Roman" w:cs="Times New Roman" w:eastAsia="Times New Roman" w:hAnsi="Times New Roman"/>
          <w:sz w:val="24"/>
          <w:szCs w:val="24"/>
        </w:rPr>
        <w:t xml:space="preserve">Romaniuk and Sharp (2004) defined brand salience as the propensity of a brand to be noticed or to come to mind in buying situations, and argued that it depends on the number and quality of links between the brand and the cues buyers use. Later work organised those cues as category entry points, the needs, occasions and constraints from which a purchase starts (Romaniuk &amp; Sharp, 2016; Sharp, 2010). Consideration set research adds that recall can change choice without any change in how brands are evaluated (Nedungadi, 1990) and that choice is usually made from a small set of brands that pass an initial screen (Shocker et al., 1991).</w:t>
      </w:r>
    </w:p>
    <w:p>
      <w:pPr>
        <w:spacing w:after="160" w:line="300"/>
        <w:jc w:val="both"/>
      </w:pPr>
      <w:r>
        <w:rPr>
          <w:rFonts w:ascii="Times New Roman" w:cs="Times New Roman" w:eastAsia="Times New Roman" w:hAnsi="Times New Roman"/>
          <w:sz w:val="24"/>
          <w:szCs w:val="24"/>
        </w:rPr>
        <w:t xml:space="preserve">Asking an AI system for a recommendation hands that initial screen to the system. Research on online decision aids anticipated some of the consequences. Häubl and Trifts (2000) found that a recommendation agent reduced the size of shoppers' consideration sets while raising their quality, and Xiao and Benbasat's (2007) review showed that recommendation agents shape both the decision process and its outcome. Dellaert et al. (2020) proposed that AI voice assistants go further, because consumers hand over much of the search itself and typically hear only the few options the assistant chooses to present. Puntoni et al. (2021) described the same move from the consumer's side as an experience of delegation. A generative answer is, in this sense, a proposed consideration set. A brand absent from it may never reach the shopper's evoked set, however salient the brand is among people who shop in other ways. Prompts that specify a use case or a price ceiling are close equivalents of category entry points, which suggests that a brand's generative visibility should be measured across several of them rather than for one generic query.</w:t>
      </w:r>
    </w:p>
    <w:p>
      <w:pPr>
        <w:pStyle w:val="Heading2"/>
        <w:keepNext/>
        <w:spacing w:after="100" w:before="240"/>
      </w:pPr>
      <w:r>
        <w:rPr>
          <w:rFonts w:ascii="Times New Roman" w:cs="Times New Roman" w:eastAsia="Times New Roman" w:hAnsi="Times New Roman"/>
          <w:b/>
          <w:bCs/>
          <w:color w:val="000000"/>
          <w:sz w:val="24"/>
          <w:szCs w:val="24"/>
        </w:rPr>
        <w:t xml:space="preserve">From Search Engines to Answer Engines</w:t>
      </w:r>
    </w:p>
    <w:p>
      <w:pPr>
        <w:spacing w:after="160" w:line="300"/>
        <w:jc w:val="both"/>
      </w:pPr>
      <w:r>
        <w:rPr>
          <w:rFonts w:ascii="Times New Roman" w:cs="Times New Roman" w:eastAsia="Times New Roman" w:hAnsi="Times New Roman"/>
          <w:sz w:val="24"/>
          <w:szCs w:val="24"/>
        </w:rPr>
        <w:t xml:space="preserve">Search engines have long been understood as gatekeepers whose ranking choices carry commercial and political consequences (Introna &amp; Nissenbaum, 2000). Position on a results page matters. Users keep clicking the higher-ranked results even when the order has been manipulated so that less relevant results sit at the top (Pan et al., 2007), rankings causally affect which products consumers examine (Ursu, 2018), and the design of a results page can steer traffic towards a platform's own services (Edelman &amp; Lai, 2016). The marketing response was search engine optimisation and paid search, both built on a visible, ordered list.</w:t>
      </w:r>
    </w:p>
    <w:p>
      <w:pPr>
        <w:spacing w:after="160" w:line="300"/>
        <w:jc w:val="both"/>
      </w:pPr>
      <w:r>
        <w:rPr>
          <w:rFonts w:ascii="Times New Roman" w:cs="Times New Roman" w:eastAsia="Times New Roman" w:hAnsi="Times New Roman"/>
          <w:sz w:val="24"/>
          <w:szCs w:val="24"/>
        </w:rPr>
        <w:t xml:space="preserve">Answer engines combine retrieval with synthesis. In retrieval-augmented generation, a model retrieves documents relevant to a query and conditions its answer on them (Lewis et al., 2020). Perplexity, Google's AI Overviews and the search-enabled modes of ChatGPT and Gemini all work broadly this way, although each decides differently when to search, how many sources to read and which to display. The citations they show are not always faithful to the answer. In a human evaluation of four generative search engines, Liu et al. (2023) found that only 51.5% of generated sentences were fully supported by their citations and that 74.5% of citations supported the sentence to which they were attached. Sharma et al. (2024) found that conversational search led users towards more confirmatory information seeking than conventional search.</w:t>
      </w:r>
    </w:p>
    <w:p>
      <w:pPr>
        <w:spacing w:after="160" w:line="300"/>
        <w:jc w:val="both"/>
      </w:pPr>
      <w:r>
        <w:rPr>
          <w:rFonts w:ascii="Times New Roman" w:cs="Times New Roman" w:eastAsia="Times New Roman" w:hAnsi="Times New Roman"/>
          <w:sz w:val="24"/>
          <w:szCs w:val="24"/>
        </w:rPr>
        <w:t xml:space="preserve">Two further properties complicate measurement. Outputs are probabilistic: the same prompt can produce different brands and different descriptions on different occasions, and non-determinism persists even under settings intended to remove it (Atıl et al., 2025; Ouyang et al., 2025). Models can also produce fluent statements that are false, the problem studied as hallucination (Ji et al., 2023). A brand can therefore be visible and misdescribed at the same time, with the wrong price band, ingredient or specification attached to it. Neither property fits the idea of generative visibility as a single stable number.</w:t>
      </w:r>
    </w:p>
    <w:p>
      <w:pPr>
        <w:pStyle w:val="Heading2"/>
        <w:keepNext/>
        <w:spacing w:after="100" w:before="240"/>
      </w:pPr>
      <w:r>
        <w:rPr>
          <w:rFonts w:ascii="Times New Roman" w:cs="Times New Roman" w:eastAsia="Times New Roman" w:hAnsi="Times New Roman"/>
          <w:b/>
          <w:bCs/>
          <w:color w:val="000000"/>
          <w:sz w:val="24"/>
          <w:szCs w:val="24"/>
        </w:rPr>
        <w:t xml:space="preserve">What Language Models Know About Brands</w:t>
      </w:r>
    </w:p>
    <w:p>
      <w:pPr>
        <w:spacing w:after="160" w:line="300"/>
        <w:jc w:val="both"/>
      </w:pPr>
      <w:r>
        <w:rPr>
          <w:rFonts w:ascii="Times New Roman" w:cs="Times New Roman" w:eastAsia="Times New Roman" w:hAnsi="Times New Roman"/>
          <w:sz w:val="24"/>
          <w:szCs w:val="24"/>
        </w:rPr>
        <w:t xml:space="preserve">A model's answer about a product category draws on parametric knowledge absorbed during training and on non-parametric knowledge retrieved at query time. The first kind is uneven. Kandpal et al. (2023) showed that a model's ability to answer a factual question rises with the number of training documents relevant to that question, so that rarely documented facts are learned poorly. Mallen et al. (2023) found the same pattern for entities, with accuracy falling for less popular ones, and showed that retrieval helped most where parametric knowledge was weakest. For brands the implication is direct. A brand with a long trail of press coverage, reference entries and reviews is better represented in what a model knows unaided than a brand a few years old, unless retrieval brings the newer brand into view.</w:t>
      </w:r>
    </w:p>
    <w:p>
      <w:pPr>
        <w:spacing w:after="160" w:line="300"/>
        <w:jc w:val="both"/>
      </w:pPr>
      <w:r>
        <w:rPr>
          <w:rFonts w:ascii="Times New Roman" w:cs="Times New Roman" w:eastAsia="Times New Roman" w:hAnsi="Times New Roman"/>
          <w:sz w:val="24"/>
          <w:szCs w:val="24"/>
        </w:rPr>
        <w:t xml:space="preserve">Studies of brand bias point the same way. Kamruzzaman et al. (2024) found that language models associated global brands with positive attributes more readily than local ones, although they also detected country-of-origin effects that could favour local brands in particular contexts. Rienecker et al. (2026) reported that models developed in the United States showed marked preference for American entities across commercial and cultural topics, and Chen et al. (2025) described a "big brand bias" in AI search that niche brands would need to overcome. Research on recommender systems offers two competing expectations. Algorithmic recommendation can concentrate demand on already popular items (Fleder &amp; Hosanagar, 2009), but lower search costs can also spread demand towards niche products (Brynjolfsson et al., 2011). Which tendency dominates in generative answers is an empirical matter, and the answer may differ by category, platform and market.</w:t>
      </w:r>
    </w:p>
    <w:p>
      <w:pPr>
        <w:pStyle w:val="Heading2"/>
        <w:keepNext/>
        <w:spacing w:after="100" w:before="240"/>
      </w:pPr>
      <w:r>
        <w:rPr>
          <w:rFonts w:ascii="Times New Roman" w:cs="Times New Roman" w:eastAsia="Times New Roman" w:hAnsi="Times New Roman"/>
          <w:b/>
          <w:bCs/>
          <w:color w:val="000000"/>
          <w:sz w:val="24"/>
          <w:szCs w:val="24"/>
        </w:rPr>
        <w:t xml:space="preserve">Generative Engine Optimisation and Its Limits</w:t>
      </w:r>
    </w:p>
    <w:p>
      <w:pPr>
        <w:spacing w:after="160" w:line="300"/>
        <w:jc w:val="both"/>
      </w:pPr>
      <w:r>
        <w:rPr>
          <w:rFonts w:ascii="Times New Roman" w:cs="Times New Roman" w:eastAsia="Times New Roman" w:hAnsi="Times New Roman"/>
          <w:sz w:val="24"/>
          <w:szCs w:val="24"/>
        </w:rPr>
        <w:t xml:space="preserve">Aggarwal et al. (2024) introduced generative engine optimisation as a framework for raising the visibility of content inside generative answers. On a benchmark of diverse queries, they reported that adding citations, quotations and statistics to source pages could raise visibility by up to 40%, while keyword stuffing had little effect, and that the gains varied across domains. Later work has qualified that picture. Puerto et al. (2025) found that most conversational search optimisation methods were largely ineffective, and sometimes harmful, in a benchmark covering question answering and product recommendation; traditional ranking-oriented optimisation worked better, and gains shrank as more competitors adopted the same methods. A 2026 review of 45 GEO studies concluded that the foundational gains hold for content already retrieved into a model's context, and that no reviewed technique had shown a stable, cross-platform effect on organic discoverability (Martinez, 2026).</w:t>
      </w:r>
    </w:p>
    <w:p>
      <w:pPr>
        <w:spacing w:after="160" w:line="300"/>
        <w:jc w:val="both"/>
      </w:pPr>
      <w:r>
        <w:rPr>
          <w:rFonts w:ascii="Times New Roman" w:cs="Times New Roman" w:eastAsia="Times New Roman" w:hAnsi="Times New Roman"/>
          <w:sz w:val="24"/>
          <w:szCs w:val="24"/>
        </w:rPr>
        <w:t xml:space="preserve">Other studies show that the selection can be pushed in directions that matter for competition. Kumar and Lakkaraju (2024) showed that a crafted text sequence inserted into a product page raised the chance that a model listed the product as its top recommendation, and Nestaas et al. (2025) demonstrated preference manipulation attacks that steer model-mediated search towards an attacker's content. In skincare, Chu and Hou (2026) found that well-known brands were recommended every time when products were otherwise identical, that a small rating advantage for a competitor was enough to break that dominance, and that authority-style claims, including fabricated clinical evidence, could shift recommendations. Chen et al. (2025) found that AI search leaned heavily on earned, third-party media rather than brand-owned or social content. For marketers, this work raises a question that the GEO literature has not settled: which kinds of sources do platforms actually rely on when they recommend brands, and do those dependencies favour some kinds of brands over others?</w:t>
      </w:r>
    </w:p>
    <w:p>
      <w:pPr>
        <w:pStyle w:val="Heading2"/>
        <w:keepNext/>
        <w:spacing w:after="100" w:before="240"/>
      </w:pPr>
      <w:r>
        <w:rPr>
          <w:rFonts w:ascii="Times New Roman" w:cs="Times New Roman" w:eastAsia="Times New Roman" w:hAnsi="Times New Roman"/>
          <w:b/>
          <w:bCs/>
          <w:color w:val="000000"/>
          <w:sz w:val="24"/>
          <w:szCs w:val="24"/>
        </w:rPr>
        <w:t xml:space="preserve">Auditing Brand Recommendations</w:t>
      </w:r>
    </w:p>
    <w:p>
      <w:pPr>
        <w:spacing w:after="160" w:line="300"/>
        <w:jc w:val="both"/>
      </w:pPr>
      <w:r>
        <w:rPr>
          <w:rFonts w:ascii="Times New Roman" w:cs="Times New Roman" w:eastAsia="Times New Roman" w:hAnsi="Times New Roman"/>
          <w:sz w:val="24"/>
          <w:szCs w:val="24"/>
        </w:rPr>
        <w:t xml:space="preserve">Algorithm audits study platform behaviour by querying a system systematically and analysing its outputs without access to its internals (Metaxa et al., 2021; Sandvig et al., 2014). The approach has recently been turned on brand recommendations. Malthouse et al. (2026) proposed estimating the probability and rank of brand recommendations by repeated sampling and applied the method to six models in five categories. They found that well-known brands were often omitted and that prominence tracked search interest and online conversation more closely than conventional measures of brand popularity. Jack et al. (2026) audited about 37,000 runs across 19 sectors and reported that roughly half of specialist and regional brands never surfaced at all. A census-based audit of cafes, restaurants and bars in two Indonesian markets found that 85.6% of venues were never recommended (Pitenin, 2026). Documentation such as review volume and an own website predicted entry into answers, while ratings mattered for rank only once a venue had been included.</w:t>
      </w:r>
    </w:p>
    <w:p>
      <w:pPr>
        <w:spacing w:after="160" w:line="300"/>
        <w:jc w:val="both"/>
      </w:pPr>
      <w:r>
        <w:rPr>
          <w:rFonts w:ascii="Times New Roman" w:cs="Times New Roman" w:eastAsia="Times New Roman" w:hAnsi="Times New Roman"/>
          <w:sz w:val="24"/>
          <w:szCs w:val="24"/>
        </w:rPr>
        <w:t xml:space="preserve">Three findings from this work shaped the design of the present study. The first is that answers vary from run to run. Żatuchin (2026b) found that the top recommendation changed across six identical runs for four of six prompts, at the same rate in the ChatGPT web interface and in its API. The second is that what a researcher observes depends on how the system is accessed. Marin et al. (2026) compared consumer interfaces with application programming interfaces (APIs) and found that the domains displayed for the same query overlapped by only 12.0% for ChatGPT and 14.8% for Gemini. The third is that language and location select the market: in Żatuchin's (2026b) probe, the language of the query decided whether local suppliers appeared at all, while the network location shifted which country's brands were named. Analyses of citations add that third-party sites supply most of the evidence behind brand answers, with Wikipedia the most-cited domain in 11 of 12 languages studied (Żatuchin, 2026a). Finally, an observational study that linked chatbot conversations to clickstream data found that a recommendation from an assistant raised a brand's same-name searches by 4.3 percentage points among users with no recent engagement with the brand (Iannelli &amp; Ai, 2026). It is early evidence that model recommendations change behaviour outside the chat.</w:t>
      </w:r>
    </w:p>
    <w:p>
      <w:pPr>
        <w:spacing w:after="160" w:line="300"/>
        <w:jc w:val="both"/>
      </w:pPr>
      <w:r>
        <w:rPr>
          <w:rFonts w:ascii="Times New Roman" w:cs="Times New Roman" w:eastAsia="Times New Roman" w:hAnsi="Times New Roman"/>
          <w:sz w:val="24"/>
          <w:szCs w:val="24"/>
        </w:rPr>
        <w:t xml:space="preserve">Most of this work is recent and much of it is not yet peer reviewed. It is set largely in North American and European markets, framed in the vocabulary of information retrieval rather than brand theory, and rarely distinguishes challenger brands from incumbents. None of it, to our knowledge, examines Indian brands.</w:t>
      </w:r>
    </w:p>
    <w:p>
      <w:pPr>
        <w:pStyle w:val="Heading2"/>
        <w:keepNext/>
        <w:spacing w:after="100" w:before="240"/>
      </w:pPr>
      <w:r>
        <w:rPr>
          <w:rFonts w:ascii="Times New Roman" w:cs="Times New Roman" w:eastAsia="Times New Roman" w:hAnsi="Times New Roman"/>
          <w:b/>
          <w:bCs/>
          <w:color w:val="000000"/>
          <w:sz w:val="24"/>
          <w:szCs w:val="24"/>
        </w:rPr>
        <w:t xml:space="preserve">Generative AI in Marketing Scholarship</w:t>
      </w:r>
    </w:p>
    <w:p>
      <w:pPr>
        <w:spacing w:after="160" w:line="300"/>
        <w:jc w:val="both"/>
      </w:pPr>
      <w:r>
        <w:rPr>
          <w:rFonts w:ascii="Times New Roman" w:cs="Times New Roman" w:eastAsia="Times New Roman" w:hAnsi="Times New Roman"/>
          <w:sz w:val="24"/>
          <w:szCs w:val="24"/>
        </w:rPr>
        <w:t xml:space="preserve">Marketing research on generative AI has grown quickly, but most of it concerns how firms and researchers use the technology. Hartmann et al. (2025) showed that AI-generated visual marketing content can match or exceed human-made content under specified conditions. Grewal et al. (2025) examined how generative AI is reshaping marketing strategy and implementation, Yoo et al. (2025) charted its uses in consumer research, and Hermann and Puntoni (2025) set out principles for its ethical design and deployment. In each case the model is an instrument in marketers' hands. Far less work treats the model as an intermediary whose outputs decide which brands consumers hear about and how those brands are described.</w:t>
      </w:r>
    </w:p>
    <w:p>
      <w:pPr>
        <w:pStyle w:val="Heading2"/>
        <w:keepNext/>
        <w:spacing w:after="100" w:before="240"/>
      </w:pPr>
      <w:r>
        <w:rPr>
          <w:rFonts w:ascii="Times New Roman" w:cs="Times New Roman" w:eastAsia="Times New Roman" w:hAnsi="Times New Roman"/>
          <w:b/>
          <w:bCs/>
          <w:color w:val="000000"/>
          <w:sz w:val="24"/>
          <w:szCs w:val="24"/>
        </w:rPr>
        <w:t xml:space="preserve">The Indian D2C Context</w:t>
      </w:r>
    </w:p>
    <w:p>
      <w:pPr>
        <w:spacing w:after="160" w:line="300"/>
        <w:jc w:val="both"/>
      </w:pPr>
      <w:r>
        <w:rPr>
          <w:rFonts w:ascii="Times New Roman" w:cs="Times New Roman" w:eastAsia="Times New Roman" w:hAnsi="Times New Roman"/>
          <w:sz w:val="24"/>
          <w:szCs w:val="24"/>
        </w:rPr>
        <w:t xml:space="preserve">India suits this question for three reasons. Its D2C sector includes brands that reached national scale within a few years, especially in personal care and consumer audio, and that now compete head-on with domestic and multinational incumbents (Srivastava, 2026). The sector is also consolidating, which blurs the line between challenger and incumbent. Hindustan Unilever, owner of Lakmé, completed the purchase of a 90.5% stake in the skincare brand Minimalist in April 2025 (Martins, 2025), and The Derma Co belongs to the listed Honasa Consumer. Second, Indian purchase journeys run heavily through marketplaces such as Amazon, Flipkart and, in beauty, Nykaa, which generate large volumes of ratings and reviews that may feed generative answers. Third, research on GEO and AI search has concentrated on English-language queries in North American and European markets. The finding that models developed in the United States favour American entities (Rienecker et al., 2026) gives reason to suspect that Indian brands, and young Indian brands in particular, may start at a disadvantage.</w:t>
      </w:r>
    </w:p>
    <w:p>
      <w:pPr>
        <w:pStyle w:val="Heading2"/>
        <w:keepNext/>
        <w:spacing w:after="100" w:before="240"/>
      </w:pPr>
      <w:r>
        <w:rPr>
          <w:rFonts w:ascii="Times New Roman" w:cs="Times New Roman" w:eastAsia="Times New Roman" w:hAnsi="Times New Roman"/>
          <w:b/>
          <w:bCs/>
          <w:color w:val="000000"/>
          <w:sz w:val="24"/>
          <w:szCs w:val="24"/>
        </w:rPr>
        <w:t xml:space="preserve">Research Gap and Questions</w:t>
      </w:r>
    </w:p>
    <w:p>
      <w:pPr>
        <w:spacing w:after="160" w:line="300"/>
        <w:jc w:val="both"/>
      </w:pPr>
      <w:r>
        <w:rPr>
          <w:rFonts w:ascii="Times New Roman" w:cs="Times New Roman" w:eastAsia="Times New Roman" w:hAnsi="Times New Roman"/>
          <w:sz w:val="24"/>
          <w:szCs w:val="24"/>
        </w:rPr>
        <w:t xml:space="preserve">Taken together, the literature lacks a marketing construct for brand equity that forms through a model's representation rather than through direct exposure, and it has no agreed instrument for measuring such equity. Evidence on how generative systems treat challenger brands in emerging markets is close to absent. The chapter addresses four research questions: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How frequently and how prominently do Indian D2C-origin brands appear in generative answers relative to incumbents?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How do the platforms describe these brands, and how closely do the descriptions match the brands' stated positioning and verifiable product facts?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Which kinds of sources do the platforms display when they recommend brands, and do source patterns differ between D2C-origin brands and incumbents?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RQ4.</w:t>
      </w:r>
      <w:r>
        <w:rPr>
          <w:rFonts w:ascii="Times New Roman" w:cs="Times New Roman" w:eastAsia="Times New Roman" w:hAnsi="Times New Roman"/>
          <w:sz w:val="24"/>
          <w:szCs w:val="24"/>
        </w:rPr>
        <w:t xml:space="preserve"> How stable are these measures across repeated runs of the same prompt and across platforms?</w:t>
      </w:r>
    </w:p>
    <w:p>
      <w:pPr>
        <w:pStyle w:val="Heading1"/>
        <w:keepNext/>
        <w:spacing w:after="140" w:before="360"/>
      </w:pPr>
      <w:r>
        <w:rPr>
          <w:rFonts w:ascii="Times New Roman" w:cs="Times New Roman" w:eastAsia="Times New Roman" w:hAnsi="Times New Roman"/>
          <w:b/>
          <w:bCs/>
          <w:color w:val="000000"/>
          <w:sz w:val="26"/>
          <w:szCs w:val="26"/>
        </w:rPr>
        <w:t xml:space="preserve">GENERATIVE BRAND EQUITY: A CONCEPTUAL FRAMEWORK</w:t>
      </w:r>
    </w:p>
    <w:p>
      <w:pPr>
        <w:pStyle w:val="Heading2"/>
        <w:keepNext/>
        <w:spacing w:after="100" w:before="240"/>
      </w:pPr>
      <w:r>
        <w:rPr>
          <w:rFonts w:ascii="Times New Roman" w:cs="Times New Roman" w:eastAsia="Times New Roman" w:hAnsi="Times New Roman"/>
          <w:b/>
          <w:bCs/>
          <w:color w:val="000000"/>
          <w:sz w:val="24"/>
          <w:szCs w:val="24"/>
        </w:rPr>
        <w:t xml:space="preserve">Definition</w:t>
      </w:r>
    </w:p>
    <w:p>
      <w:pPr>
        <w:spacing w:after="160" w:line="300"/>
        <w:jc w:val="both"/>
      </w:pPr>
      <w:r>
        <w:rPr>
          <w:rFonts w:ascii="Times New Roman" w:cs="Times New Roman" w:eastAsia="Times New Roman" w:hAnsi="Times New Roman"/>
          <w:sz w:val="24"/>
          <w:szCs w:val="24"/>
        </w:rPr>
        <w:t xml:space="preserve">We define </w:t>
      </w:r>
      <w:r>
        <w:rPr>
          <w:rFonts w:ascii="Times New Roman" w:cs="Times New Roman" w:eastAsia="Times New Roman" w:hAnsi="Times New Roman"/>
          <w:b/>
          <w:bCs/>
          <w:sz w:val="24"/>
          <w:szCs w:val="24"/>
        </w:rPr>
        <w:t xml:space="preserve">Generative Brand Equity</w:t>
      </w:r>
      <w:r>
        <w:rPr>
          <w:rFonts w:ascii="Times New Roman" w:cs="Times New Roman" w:eastAsia="Times New Roman" w:hAnsi="Times New Roman"/>
          <w:sz w:val="24"/>
          <w:szCs w:val="24"/>
        </w:rPr>
        <w:t xml:space="preserve"> as the differential visibility and representation of a brand in the outputs of generative AI systems, relative to competing brands in its category, in response to category-relevant shopper queries. The definition deliberately parallels Keller's (1993) but moves the site of brand knowledge. It asks what models surface and say about a brand when shoppers ask, rather than what consumers know about it.</w:t>
      </w:r>
    </w:p>
    <w:p>
      <w:pPr>
        <w:spacing w:after="160" w:line="300"/>
        <w:jc w:val="both"/>
      </w:pPr>
      <w:r>
        <w:rPr>
          <w:rFonts w:ascii="Times New Roman" w:cs="Times New Roman" w:eastAsia="Times New Roman" w:hAnsi="Times New Roman"/>
          <w:sz w:val="24"/>
          <w:szCs w:val="24"/>
        </w:rPr>
        <w:t xml:space="preserve">Three features follow from this choice. Generative Brand Equity is a property of a distribution of outputs, because any single answer is one draw from a system that would answer differently if asked again. It is relative to a platform, since the same brand can be prominent on one system and missing from another. And it is relative to the query, because a brand may be retrieved for one category entry point and not for the next. Measuring it therefore calls for repeated sampling across platforms and query types, which is the design adopted in this chapter.</w:t>
      </w:r>
    </w:p>
    <w:p>
      <w:pPr>
        <w:pStyle w:val="Heading2"/>
        <w:keepNext/>
        <w:spacing w:after="100" w:before="240"/>
      </w:pPr>
      <w:r>
        <w:rPr>
          <w:rFonts w:ascii="Times New Roman" w:cs="Times New Roman" w:eastAsia="Times New Roman" w:hAnsi="Times New Roman"/>
          <w:b/>
          <w:bCs/>
          <w:color w:val="000000"/>
          <w:sz w:val="24"/>
          <w:szCs w:val="24"/>
        </w:rPr>
        <w:t xml:space="preserve">Dimensions</w:t>
      </w:r>
    </w:p>
    <w:p>
      <w:pPr>
        <w:spacing w:after="160" w:line="300"/>
        <w:jc w:val="both"/>
      </w:pPr>
      <w:r>
        <w:rPr>
          <w:rFonts w:ascii="Times New Roman" w:cs="Times New Roman" w:eastAsia="Times New Roman" w:hAnsi="Times New Roman"/>
          <w:sz w:val="24"/>
          <w:szCs w:val="24"/>
        </w:rPr>
        <w:t xml:space="preserve">The framework has four dimensions, each adapted from an established component of brand equity, and treats stability as a property of every one of them. Figure 1 sets out the mapping.</w:t>
      </w:r>
    </w:p>
    <w:p>
      <w:pPr>
        <w:keepNext/>
        <w:spacing w:after="80" w:before="200"/>
        <w:jc w:val="center"/>
      </w:pPr>
      <w:r>
        <w:drawing>
          <wp:inline distT="0" distB="0" distL="0" distR="0">
            <wp:extent cx="4648200" cy="2971800"/>
            <wp:effectExtent t="0" r="0" b="0" l="0"/>
            <wp:docPr id="1" name="fig1_framework.png" descr="**Figure 1.** The Generative Brand Equity framework. Each dimension adapts a component of consumer-based brand equity; stability across repeated runs and platforms applies to all four. Dashed elements mark the proposed link to consumer response, which this chapter does not tes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48200" cy="2971800"/>
                    </a:xfrm>
                    <a:prstGeom prst="rect">
                      <a:avLst/>
                    </a:prstGeom>
                  </pic:spPr>
                </pic:pic>
              </a:graphicData>
            </a:graphic>
          </wp:inline>
        </w:drawing>
      </w:r>
    </w:p>
    <w:p>
      <w:pPr>
        <w:spacing w:after="240"/>
      </w:pPr>
      <w:r>
        <w:rPr>
          <w:rFonts w:ascii="Times New Roman" w:cs="Times New Roman" w:eastAsia="Times New Roman" w:hAnsi="Times New Roman"/>
          <w:b/>
          <w:bCs/>
          <w:sz w:val="21"/>
          <w:szCs w:val="21"/>
        </w:rPr>
        <w:t xml:space="preserve">Figure 1.</w:t>
      </w:r>
      <w:r>
        <w:rPr>
          <w:rFonts w:ascii="Times New Roman" w:cs="Times New Roman" w:eastAsia="Times New Roman" w:hAnsi="Times New Roman"/>
          <w:sz w:val="21"/>
          <w:szCs w:val="21"/>
        </w:rPr>
        <w:t xml:space="preserve"> The Generative Brand Equity framework. Each dimension adapts a component of consumer-based brand equity; stability across repeated runs and platforms applies to all four. Dashed elements mark the proposed link to consumer response, which this chapter does not test.</w:t>
      </w:r>
    </w:p>
    <w:p>
      <w:pPr>
        <w:spacing w:after="160" w:line="300"/>
        <w:jc w:val="both"/>
      </w:pPr>
      <w:r>
        <w:rPr>
          <w:rFonts w:ascii="Times New Roman" w:cs="Times New Roman" w:eastAsia="Times New Roman" w:hAnsi="Times New Roman"/>
          <w:b/>
          <w:bCs/>
          <w:sz w:val="24"/>
          <w:szCs w:val="24"/>
        </w:rPr>
        <w:t xml:space="preserve">Model awareness</w:t>
      </w:r>
      <w:r>
        <w:rPr>
          <w:rFonts w:ascii="Times New Roman" w:cs="Times New Roman" w:eastAsia="Times New Roman" w:hAnsi="Times New Roman"/>
          <w:sz w:val="24"/>
          <w:szCs w:val="24"/>
        </w:rPr>
        <w:t xml:space="preserve"> corresponds to brand awareness. It captures whether, and how often, a brand is retrieved in answer to category-level prompts that do not name it, and is the generative analogue of unaided recall.</w:t>
      </w:r>
    </w:p>
    <w:p>
      <w:pPr>
        <w:spacing w:after="160" w:line="300"/>
        <w:jc w:val="both"/>
      </w:pPr>
      <w:r>
        <w:rPr>
          <w:rFonts w:ascii="Times New Roman" w:cs="Times New Roman" w:eastAsia="Times New Roman" w:hAnsi="Times New Roman"/>
          <w:b/>
          <w:bCs/>
          <w:sz w:val="24"/>
          <w:szCs w:val="24"/>
        </w:rPr>
        <w:t xml:space="preserve">Model prominence</w:t>
      </w:r>
      <w:r>
        <w:rPr>
          <w:rFonts w:ascii="Times New Roman" w:cs="Times New Roman" w:eastAsia="Times New Roman" w:hAnsi="Times New Roman"/>
          <w:sz w:val="24"/>
          <w:szCs w:val="24"/>
        </w:rPr>
        <w:t xml:space="preserve"> captures where the brand appears within an answer. Being named first, or being presented as the single best choice, plausibly matters more than appearing fifth in a list, given what is known about position effects in search (Pan et al., 2007; Ursu, 2018). Prominence has no exact counterpart in Keller's framework, but it parallels top-of-mind awareness and the salience of a brand relative to its competitors (Romaniuk &amp; Sharp, 2004).</w:t>
      </w:r>
    </w:p>
    <w:p>
      <w:pPr>
        <w:spacing w:after="160" w:line="300"/>
        <w:jc w:val="both"/>
      </w:pPr>
      <w:r>
        <w:rPr>
          <w:rFonts w:ascii="Times New Roman" w:cs="Times New Roman" w:eastAsia="Times New Roman" w:hAnsi="Times New Roman"/>
          <w:b/>
          <w:bCs/>
          <w:sz w:val="24"/>
          <w:szCs w:val="24"/>
        </w:rPr>
        <w:t xml:space="preserve">Model image</w:t>
      </w:r>
      <w:r>
        <w:rPr>
          <w:rFonts w:ascii="Times New Roman" w:cs="Times New Roman" w:eastAsia="Times New Roman" w:hAnsi="Times New Roman"/>
          <w:sz w:val="24"/>
          <w:szCs w:val="24"/>
        </w:rPr>
        <w:t xml:space="preserve"> corresponds to brand image. It covers the attributes, benefits, price cues and tone that a model attaches to a brand. Model image can be compared with the brand's own positioning to assess alignment, and its factual claims can be checked against official product information. A brand may be visible yet described in ways that conflict with its positioning, or described wrongly.</w:t>
      </w:r>
    </w:p>
    <w:p>
      <w:pPr>
        <w:spacing w:after="160" w:line="300"/>
        <w:jc w:val="both"/>
      </w:pPr>
      <w:r>
        <w:rPr>
          <w:rFonts w:ascii="Times New Roman" w:cs="Times New Roman" w:eastAsia="Times New Roman" w:hAnsi="Times New Roman"/>
          <w:b/>
          <w:bCs/>
          <w:sz w:val="24"/>
          <w:szCs w:val="24"/>
        </w:rPr>
        <w:t xml:space="preserve">Model credibility</w:t>
      </w:r>
      <w:r>
        <w:rPr>
          <w:rFonts w:ascii="Times New Roman" w:cs="Times New Roman" w:eastAsia="Times New Roman" w:hAnsi="Times New Roman"/>
          <w:sz w:val="24"/>
          <w:szCs w:val="24"/>
        </w:rPr>
        <w:t xml:space="preserve"> captures the kinds of sources a platform displays in support of what it says about a brand. It draws on the idea that a brand's claims persuade in proportion to their credibility (Erdem &amp; Swait, 2004) and on the older finding that the perceived credibility of a source shapes the effect of a message (Hovland &amp; Weiss, 1951). The framework distinguishes brand-owned sites, marketplace listings, review and community content, editorial and business press, encyclopaedic sources and video. A brand described on the strength of independent sources stands on different ground from one described mainly from its own website.</w:t>
      </w:r>
    </w:p>
    <w:p>
      <w:pPr>
        <w:spacing w:after="160" w:line="300"/>
        <w:jc w:val="both"/>
      </w:pPr>
      <w:r>
        <w:rPr>
          <w:rFonts w:ascii="Times New Roman" w:cs="Times New Roman" w:eastAsia="Times New Roman" w:hAnsi="Times New Roman"/>
          <w:b/>
          <w:bCs/>
          <w:sz w:val="24"/>
          <w:szCs w:val="24"/>
        </w:rPr>
        <w:t xml:space="preserve">Stability</w:t>
      </w:r>
      <w:r>
        <w:rPr>
          <w:rFonts w:ascii="Times New Roman" w:cs="Times New Roman" w:eastAsia="Times New Roman" w:hAnsi="Times New Roman"/>
          <w:sz w:val="24"/>
          <w:szCs w:val="24"/>
        </w:rPr>
        <w:t xml:space="preserve"> is treated as a property of all four dimensions. Because outputs vary across runs and platforms, each dimension has a level, how high it is on average, and a stability, how consistently that level is reproduced. Two brands with the same average share of answers may differ sharply in how reliably they appear. No claim about a brand's generative visibility is defensible without some statement of its stability.</w:t>
      </w:r>
    </w:p>
    <w:p>
      <w:pPr>
        <w:pStyle w:val="Heading2"/>
        <w:keepNext/>
        <w:spacing w:after="100" w:before="240"/>
      </w:pPr>
      <w:r>
        <w:rPr>
          <w:rFonts w:ascii="Times New Roman" w:cs="Times New Roman" w:eastAsia="Times New Roman" w:hAnsi="Times New Roman"/>
          <w:b/>
          <w:bCs/>
          <w:color w:val="000000"/>
          <w:sz w:val="24"/>
          <w:szCs w:val="24"/>
        </w:rPr>
        <w:t xml:space="preserve">Propositions</w:t>
      </w:r>
    </w:p>
    <w:p>
      <w:pPr>
        <w:spacing w:after="160" w:line="300"/>
        <w:jc w:val="both"/>
      </w:pPr>
      <w:r>
        <w:rPr>
          <w:rFonts w:ascii="Times New Roman" w:cs="Times New Roman" w:eastAsia="Times New Roman" w:hAnsi="Times New Roman"/>
          <w:sz w:val="24"/>
          <w:szCs w:val="24"/>
        </w:rPr>
        <w:t xml:space="preserve">The framework yields four propositions that guide the audit and that future work can test more directly.</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P1.</w:t>
      </w:r>
      <w:r>
        <w:rPr>
          <w:rFonts w:ascii="Times New Roman" w:cs="Times New Roman" w:eastAsia="Times New Roman" w:hAnsi="Times New Roman"/>
          <w:sz w:val="24"/>
          <w:szCs w:val="24"/>
        </w:rPr>
        <w:t xml:space="preserve"> Model awareness and prominence will differ systematically between D2C-origin brands and incumbents, and the differences will not simply mirror the brands' marketplace standing.</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P2.</w:t>
      </w:r>
      <w:r>
        <w:rPr>
          <w:rFonts w:ascii="Times New Roman" w:cs="Times New Roman" w:eastAsia="Times New Roman" w:hAnsi="Times New Roman"/>
          <w:sz w:val="24"/>
          <w:szCs w:val="24"/>
        </w:rPr>
        <w:t xml:space="preserve"> Model image will diverge from a brand's positioning more often for brands with thinner third-party coverage.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P3.</w:t>
      </w:r>
      <w:r>
        <w:rPr>
          <w:rFonts w:ascii="Times New Roman" w:cs="Times New Roman" w:eastAsia="Times New Roman" w:hAnsi="Times New Roman"/>
          <w:sz w:val="24"/>
          <w:szCs w:val="24"/>
        </w:rPr>
        <w:t xml:space="preserve"> Brands supported by a wider range of third-party source types will show more stable visibility across platforms.</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P4.</w:t>
      </w:r>
      <w:r>
        <w:rPr>
          <w:rFonts w:ascii="Times New Roman" w:cs="Times New Roman" w:eastAsia="Times New Roman" w:hAnsi="Times New Roman"/>
          <w:sz w:val="24"/>
          <w:szCs w:val="24"/>
        </w:rPr>
        <w:t xml:space="preserve"> Visibility will vary across platforms and repeated runs enough that single-run or single-platform audits misstate a brand's generative visibility.</w:t>
      </w:r>
    </w:p>
    <w:p>
      <w:pPr>
        <w:pStyle w:val="Heading2"/>
        <w:keepNext/>
        <w:spacing w:after="100" w:before="240"/>
      </w:pPr>
      <w:r>
        <w:rPr>
          <w:rFonts w:ascii="Times New Roman" w:cs="Times New Roman" w:eastAsia="Times New Roman" w:hAnsi="Times New Roman"/>
          <w:b/>
          <w:bCs/>
          <w:color w:val="000000"/>
          <w:sz w:val="24"/>
          <w:szCs w:val="24"/>
        </w:rPr>
        <w:t xml:space="preserve">Scope and Boundary Conditions</w:t>
      </w:r>
    </w:p>
    <w:p>
      <w:pPr>
        <w:spacing w:after="160" w:line="300"/>
        <w:jc w:val="both"/>
      </w:pPr>
      <w:r>
        <w:rPr>
          <w:rFonts w:ascii="Times New Roman" w:cs="Times New Roman" w:eastAsia="Times New Roman" w:hAnsi="Times New Roman"/>
          <w:sz w:val="24"/>
          <w:szCs w:val="24"/>
        </w:rPr>
        <w:t xml:space="preserve">Generative Brand Equity is a property of model outputs, not of consumer memory, and the audit reported here measures outputs only. It does not measure attitudes, consideration or purchase intention. The proposed link to consumer response rests on two arguments. The first is structural: a generative answer works as a proposed consideration set, and decision aids that narrow consideration sets are known to shape choice (Häubl &amp; Trifts, 2000; Xiao &amp; Benbasat, 2007). The second is emerging evidence that being recommended by an assistant changes what people search for afterwards (Iannelli &amp; Ai, 2026). Both make the link plausible; neither establishes its size in Indian categories, which is why it appears as a dashed line in Figure 1.</w:t>
      </w:r>
    </w:p>
    <w:p>
      <w:pPr>
        <w:spacing w:after="160" w:line="300"/>
        <w:jc w:val="both"/>
      </w:pPr>
      <w:r>
        <w:rPr>
          <w:rFonts w:ascii="Times New Roman" w:cs="Times New Roman" w:eastAsia="Times New Roman" w:hAnsi="Times New Roman"/>
          <w:sz w:val="24"/>
          <w:szCs w:val="24"/>
        </w:rPr>
        <w:t xml:space="preserve">The construct also differs from share of voice. Share of voice measures what a firm pays to say relative to its competitors. Share of model, as used here, measures what a model chooses to say. A firm can buy the first but can influence the second only indirectly, through the sources that models read and display, which is why model credibility belongs in the framework rather than outside it.</w:t>
      </w:r>
    </w:p>
    <w:p>
      <w:pPr>
        <w:pStyle w:val="Heading1"/>
        <w:keepNext/>
        <w:spacing w:after="140" w:before="360"/>
      </w:pPr>
      <w:r>
        <w:rPr>
          <w:rFonts w:ascii="Times New Roman" w:cs="Times New Roman" w:eastAsia="Times New Roman" w:hAnsi="Times New Roman"/>
          <w:b/>
          <w:bCs/>
          <w:color w:val="000000"/>
          <w:sz w:val="26"/>
          <w:szCs w:val="26"/>
        </w:rPr>
        <w:t xml:space="preserve">METHOD</w:t>
      </w:r>
    </w:p>
    <w:p>
      <w:pPr>
        <w:pStyle w:val="Heading2"/>
        <w:keepNext/>
        <w:spacing w:after="100" w:before="240"/>
      </w:pPr>
      <w:r>
        <w:rPr>
          <w:rFonts w:ascii="Times New Roman" w:cs="Times New Roman" w:eastAsia="Times New Roman" w:hAnsi="Times New Roman"/>
          <w:b/>
          <w:bCs/>
          <w:color w:val="000000"/>
          <w:sz w:val="24"/>
          <w:szCs w:val="24"/>
        </w:rPr>
        <w:t xml:space="preserve">Research Design</w:t>
      </w:r>
    </w:p>
    <w:p>
      <w:pPr>
        <w:spacing w:after="160" w:line="300"/>
        <w:jc w:val="both"/>
      </w:pPr>
      <w:r>
        <w:rPr>
          <w:rFonts w:ascii="Times New Roman" w:cs="Times New Roman" w:eastAsia="Times New Roman" w:hAnsi="Times New Roman"/>
          <w:sz w:val="24"/>
          <w:szCs w:val="24"/>
        </w:rPr>
        <w:t xml:space="preserve">The study is a structured prompt-based audit, adapted from algorithm audit research that examines platform behaviour by querying a system systematically and analysing its outputs (Metaxa et al., 2021; Sandvig et al., 2014). The design is observational and descriptive-comparative. It follows the recommendation emerging from recent audits to treat brand recommendation as a stochastic process, estimated by repeated sampling rather than inferred from single answers (Malthouse et al., 2026; Martinez, 2026). All code, prompts, coding instructions, raw responses and derived tables are kept in a version-controlled repository so that every number reported in this chapter can be regenerated from the raw data.</w:t>
      </w:r>
    </w:p>
    <w:p>
      <w:pPr>
        <w:pStyle w:val="Heading2"/>
        <w:keepNext/>
        <w:spacing w:after="100" w:before="240"/>
      </w:pPr>
      <w:r>
        <w:rPr>
          <w:rFonts w:ascii="Times New Roman" w:cs="Times New Roman" w:eastAsia="Times New Roman" w:hAnsi="Times New Roman"/>
          <w:b/>
          <w:bCs/>
          <w:color w:val="000000"/>
          <w:sz w:val="24"/>
          <w:szCs w:val="24"/>
        </w:rPr>
        <w:t xml:space="preserve">Categories and Brands</w:t>
      </w:r>
    </w:p>
    <w:p>
      <w:pPr>
        <w:spacing w:after="160" w:line="300"/>
        <w:jc w:val="both"/>
      </w:pPr>
      <w:r>
        <w:rPr>
          <w:rFonts w:ascii="Times New Roman" w:cs="Times New Roman" w:eastAsia="Times New Roman" w:hAnsi="Times New Roman"/>
          <w:sz w:val="24"/>
          <w:szCs w:val="24"/>
        </w:rPr>
        <w:t xml:space="preserve">Two product categories were chosen in which Indian D2C brands compete directly with established incumbents and in which shoppers commonly ask for recommendations: skincare, with a focus on face serums and moisturisers, and wireless earbuds. Skincare is an experience good whose quality is hard to judge before purchase, so brand reputation and third-party testimony carry weight (Chu &amp; Hou, 2026). Wireless earbuds are a specification-heavy category in which Indian D2C brands lead on volume: in the second quarter of 2026, boAt alone held 34.7% of India's earwear shipments according to IDC (Baburajan, 2026).</w:t>
      </w:r>
    </w:p>
    <w:p>
      <w:pPr>
        <w:spacing w:after="160" w:line="300"/>
        <w:jc w:val="both"/>
      </w:pPr>
      <w:r>
        <w:rPr>
          <w:rFonts w:ascii="Times New Roman" w:cs="Times New Roman" w:eastAsia="Times New Roman" w:hAnsi="Times New Roman"/>
          <w:sz w:val="24"/>
          <w:szCs w:val="24"/>
        </w:rPr>
        <w:t xml:space="preserve">Six brands were selected per category, three D2C-origin brands and three incumbents (Table 1). Brands were classified by origin. A D2C-origin brand is an Indian brand launched in 2013 or later that built its business first through its own website and online marketplaces. An incumbent is a brand established in the category, in India or globally, before that wave, and sold through multi-channel distribution backed by mass media. Selection criteria were national availability, presence on major Indian marketplaces and a clear positioning statement on the brand's official website. Ownership was verified on the first day of data collection from company announcements and business press, because several Indian D2C brands have been acquired. Minimalist is the clearest case: D2C in origin, it has been majority-owned since 2025 by Hindustan Unilever, which also owns the incumbent Lakmé. The analysis classifies it by origin and repeats key comparisons without it.</w:t>
      </w:r>
    </w:p>
    <w:p>
      <w:pPr>
        <w:spacing w:after="160" w:line="300"/>
        <w:jc w:val="both"/>
      </w:pPr>
      <w:r>
        <w:rPr>
          <w:rFonts w:ascii="Times New Roman" w:cs="Times New Roman" w:eastAsia="Times New Roman" w:hAnsi="Times New Roman"/>
          <w:sz w:val="24"/>
          <w:szCs w:val="24"/>
        </w:rPr>
        <w:t xml:space="preserve">Each brand's positioning was taken from its own website on the same day and coded into a closed set of attribute codes, the same codes later applied to model descriptions. Only attributes the brand claims for itself in its own words were coded.</w:t>
      </w:r>
    </w:p>
    <w:p>
      <w:pPr>
        <w:keepNext/>
        <w:spacing w:after="80" w:before="200"/>
      </w:pPr>
      <w:r>
        <w:rPr>
          <w:rFonts w:ascii="Times New Roman" w:cs="Times New Roman" w:eastAsia="Times New Roman" w:hAnsi="Times New Roman"/>
          <w:b/>
          <w:bCs/>
          <w:sz w:val="21"/>
          <w:szCs w:val="21"/>
        </w:rPr>
        <w:t xml:space="preserve">Table 1.</w:t>
      </w:r>
      <w:r>
        <w:rPr>
          <w:rFonts w:ascii="Times New Roman" w:cs="Times New Roman" w:eastAsia="Times New Roman" w:hAnsi="Times New Roman"/>
          <w:sz w:val="21"/>
          <w:szCs w:val="21"/>
        </w:rPr>
        <w:t xml:space="preserve"> Study brands, origin, ownership and self-declared positioning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5"/>
        <w:gridCol w:w="1225"/>
        <w:gridCol w:w="1225"/>
        <w:gridCol w:w="2078"/>
        <w:gridCol w:w="3473"/>
      </w:tblGrid>
      <w:tr>
        <w:trPr>
          <w:cantSplit/>
          <w:tblHeader/>
        </w:trPr>
        <w:tc>
          <w:tcPr>
            <w:tcW w:type="dxa" w:w="1025"/>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Category</w:t>
            </w:r>
          </w:p>
        </w:tc>
        <w:tc>
          <w:tcPr>
            <w:tcW w:type="dxa" w:w="1225"/>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Brand</w:t>
            </w:r>
          </w:p>
        </w:tc>
        <w:tc>
          <w:tcPr>
            <w:tcW w:type="dxa" w:w="1225"/>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Type</w:t>
            </w:r>
          </w:p>
        </w:tc>
        <w:tc>
          <w:tcPr>
            <w:tcW w:type="dxa" w:w="2078"/>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Owner at collection</w:t>
            </w:r>
          </w:p>
        </w:tc>
        <w:tc>
          <w:tcPr>
            <w:tcW w:type="dxa" w:w="3473"/>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Self-declared positioning (coded)</w:t>
            </w:r>
          </w:p>
        </w:tc>
      </w:tr>
      <w:tr>
        <w:trPr>
          <w:cantSplit/>
          <w:tblHeader w:val="off"/>
        </w:trPr>
        <w:tc>
          <w:tcPr>
            <w:tcW w:type="dxa" w:w="10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Skincare</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Minimalist</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Indian D2C-origin</w:t>
            </w:r>
          </w:p>
        </w:tc>
        <w:tc>
          <w:tcPr>
            <w:tcW w:type="dxa" w:w="207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Hindustan Unilever (90.5% since 2025)</w:t>
            </w:r>
          </w:p>
        </w:tc>
        <w:tc>
          <w:tcPr>
            <w:tcW w:type="dxa" w:w="347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Ingredient transparency; Science-backed; Active-ingredient led; Affordable</w:t>
            </w:r>
          </w:p>
        </w:tc>
      </w:tr>
      <w:tr>
        <w:trPr>
          <w:cantSplit/>
          <w:tblHeader w:val="off"/>
        </w:trPr>
        <w:tc>
          <w:tcPr>
            <w:tcW w:type="dxa" w:w="10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The Derma Co</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Indian D2C-origin</w:t>
            </w:r>
          </w:p>
        </w:tc>
        <w:tc>
          <w:tcPr>
            <w:tcW w:type="dxa" w:w="207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Honasa Consumer (listed)</w:t>
            </w:r>
          </w:p>
        </w:tc>
        <w:tc>
          <w:tcPr>
            <w:tcW w:type="dxa" w:w="347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Dermatologist link; Active-ingredient led; Science-backed; Ingredient transparency</w:t>
            </w:r>
          </w:p>
        </w:tc>
      </w:tr>
      <w:tr>
        <w:trPr>
          <w:cantSplit/>
          <w:tblHeader w:val="off"/>
        </w:trPr>
        <w:tc>
          <w:tcPr>
            <w:tcW w:type="dxa" w:w="10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Plum</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Indian D2C-origin</w:t>
            </w:r>
          </w:p>
        </w:tc>
        <w:tc>
          <w:tcPr>
            <w:tcW w:type="dxa" w:w="207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Founder-led, independent</w:t>
            </w:r>
          </w:p>
        </w:tc>
        <w:tc>
          <w:tcPr>
            <w:tcW w:type="dxa" w:w="347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Natural; Science-backed</w:t>
            </w:r>
          </w:p>
        </w:tc>
      </w:tr>
      <w:tr>
        <w:trPr>
          <w:cantSplit/>
          <w:tblHeader w:val="off"/>
        </w:trPr>
        <w:tc>
          <w:tcPr>
            <w:tcW w:type="dxa" w:w="10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Cetaphil</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Incumbent</w:t>
            </w:r>
          </w:p>
        </w:tc>
        <w:tc>
          <w:tcPr>
            <w:tcW w:type="dxa" w:w="207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Galderma</w:t>
            </w:r>
          </w:p>
        </w:tc>
        <w:tc>
          <w:tcPr>
            <w:tcW w:type="dxa" w:w="347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Gentle; Dermatologist link; Established; Science-backed</w:t>
            </w:r>
          </w:p>
        </w:tc>
      </w:tr>
      <w:tr>
        <w:trPr>
          <w:cantSplit/>
          <w:tblHeader w:val="off"/>
        </w:trPr>
        <w:tc>
          <w:tcPr>
            <w:tcW w:type="dxa" w:w="10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Neutrogena</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Incumbent</w:t>
            </w:r>
          </w:p>
        </w:tc>
        <w:tc>
          <w:tcPr>
            <w:tcW w:type="dxa" w:w="207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Kenvue</w:t>
            </w:r>
          </w:p>
        </w:tc>
        <w:tc>
          <w:tcPr>
            <w:tcW w:type="dxa" w:w="347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Dermatologist link; Science-backed</w:t>
            </w:r>
          </w:p>
        </w:tc>
      </w:tr>
      <w:tr>
        <w:trPr>
          <w:cantSplit/>
          <w:tblHeader w:val="off"/>
        </w:trPr>
        <w:tc>
          <w:tcPr>
            <w:tcW w:type="dxa" w:w="10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Lakmé</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Incumbent</w:t>
            </w:r>
          </w:p>
        </w:tc>
        <w:tc>
          <w:tcPr>
            <w:tcW w:type="dxa" w:w="207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Hindustan Unilever</w:t>
            </w:r>
          </w:p>
        </w:tc>
        <w:tc>
          <w:tcPr>
            <w:tcW w:type="dxa" w:w="347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Established; Indian brand</w:t>
            </w:r>
          </w:p>
        </w:tc>
      </w:tr>
      <w:tr>
        <w:trPr>
          <w:cantSplit/>
          <w:tblHeader w:val="off"/>
        </w:trPr>
        <w:tc>
          <w:tcPr>
            <w:tcW w:type="dxa" w:w="10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Wireless earbuds</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boAt</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Indian D2C-origin</w:t>
            </w:r>
          </w:p>
        </w:tc>
        <w:tc>
          <w:tcPr>
            <w:tcW w:type="dxa" w:w="207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Imagine Marketing (unlisted)</w:t>
            </w:r>
          </w:p>
        </w:tc>
        <w:tc>
          <w:tcPr>
            <w:tcW w:type="dxa" w:w="347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Affordable; Durability; Design; Indian brand</w:t>
            </w:r>
          </w:p>
        </w:tc>
      </w:tr>
      <w:tr>
        <w:trPr>
          <w:cantSplit/>
          <w:tblHeader w:val="off"/>
        </w:trPr>
        <w:tc>
          <w:tcPr>
            <w:tcW w:type="dxa" w:w="10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Noise</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Indian D2C-origin</w:t>
            </w:r>
          </w:p>
        </w:tc>
        <w:tc>
          <w:tcPr>
            <w:tcW w:type="dxa" w:w="207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Nexxbase (Bose minority stake)</w:t>
            </w:r>
          </w:p>
        </w:tc>
        <w:tc>
          <w:tcPr>
            <w:tcW w:type="dxa" w:w="347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Design; Affordable; Indian brand</w:t>
            </w:r>
          </w:p>
        </w:tc>
      </w:tr>
      <w:tr>
        <w:trPr>
          <w:cantSplit/>
          <w:tblHeader w:val="off"/>
        </w:trPr>
        <w:tc>
          <w:tcPr>
            <w:tcW w:type="dxa" w:w="10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Boult</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Indian D2C-origin</w:t>
            </w:r>
          </w:p>
        </w:tc>
        <w:tc>
          <w:tcPr>
            <w:tcW w:type="dxa" w:w="207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Founder-owned (GoBoult)</w:t>
            </w:r>
          </w:p>
        </w:tc>
        <w:tc>
          <w:tcPr>
            <w:tcW w:type="dxa" w:w="347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Features; Design; Affordable</w:t>
            </w:r>
          </w:p>
        </w:tc>
      </w:tr>
      <w:tr>
        <w:trPr>
          <w:cantSplit/>
          <w:tblHeader w:val="off"/>
        </w:trPr>
        <w:tc>
          <w:tcPr>
            <w:tcW w:type="dxa" w:w="10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Sony</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Incumbent</w:t>
            </w:r>
          </w:p>
        </w:tc>
        <w:tc>
          <w:tcPr>
            <w:tcW w:type="dxa" w:w="207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Sony Group</w:t>
            </w:r>
          </w:p>
        </w:tc>
        <w:tc>
          <w:tcPr>
            <w:tcW w:type="dxa" w:w="347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Noise cancellation; Sound quality</w:t>
            </w:r>
          </w:p>
        </w:tc>
      </w:tr>
      <w:tr>
        <w:trPr>
          <w:cantSplit/>
          <w:tblHeader w:val="off"/>
        </w:trPr>
        <w:tc>
          <w:tcPr>
            <w:tcW w:type="dxa" w:w="10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JBL</w:t>
            </w:r>
          </w:p>
        </w:tc>
        <w:tc>
          <w:tcPr>
            <w:tcW w:type="dxa" w:w="122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Incumbent</w:t>
            </w:r>
          </w:p>
        </w:tc>
        <w:tc>
          <w:tcPr>
            <w:tcW w:type="dxa" w:w="207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Harman (Samsung)</w:t>
            </w:r>
          </w:p>
        </w:tc>
        <w:tc>
          <w:tcPr>
            <w:tcW w:type="dxa" w:w="347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Sound quality; Durability</w:t>
            </w:r>
          </w:p>
        </w:tc>
      </w:tr>
      <w:tr>
        <w:trPr>
          <w:cantSplit/>
          <w:tblHeader w:val="off"/>
        </w:trPr>
        <w:tc>
          <w:tcPr>
            <w:tcW w:type="dxa" w:w="1025"/>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p>
        </w:tc>
        <w:tc>
          <w:tcPr>
            <w:tcW w:type="dxa" w:w="1225"/>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Samsung</w:t>
            </w:r>
          </w:p>
        </w:tc>
        <w:tc>
          <w:tcPr>
            <w:tcW w:type="dxa" w:w="1225"/>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Incumbent</w:t>
            </w:r>
          </w:p>
        </w:tc>
        <w:tc>
          <w:tcPr>
            <w:tcW w:type="dxa" w:w="2078"/>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Samsung Electronics</w:t>
            </w:r>
          </w:p>
        </w:tc>
        <w:tc>
          <w:tcPr>
            <w:tcW w:type="dxa" w:w="3473"/>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Features; Comfort</w:t>
            </w:r>
          </w:p>
        </w:tc>
      </w:tr>
    </w:tbl>
    <w:p>
      <w:pPr>
        <w:spacing w:after="200" w:before="60"/>
      </w:pPr>
      <w:r>
        <w:rPr>
          <w:rFonts w:ascii="Times New Roman" w:cs="Times New Roman" w:eastAsia="Times New Roman" w:hAnsi="Times New Roman"/>
          <w:i/>
          <w:iCs/>
          <w:sz w:val="18"/>
          <w:szCs w:val="18"/>
        </w:rPr>
        <w:t xml:space="preserve">Note.</w:t>
      </w:r>
      <w:r>
        <w:rPr>
          <w:rFonts w:ascii="Times New Roman" w:cs="Times New Roman" w:eastAsia="Times New Roman" w:hAnsi="Times New Roman"/>
          <w:sz w:val="18"/>
          <w:szCs w:val="18"/>
        </w:rPr>
        <w:t xml:space="preserve"> Ownership and positioning verified from company websites and announcements on [DATE]. Positioning attributes were coded from the brand's own wording using the attribute codes in the coding manual; source URLs are listed in the replication files.</w:t>
      </w:r>
    </w:p>
    <w:p>
      <w:pPr>
        <w:pStyle w:val="Heading2"/>
        <w:keepNext/>
        <w:spacing w:after="100" w:before="240"/>
      </w:pPr>
      <w:r>
        <w:rPr>
          <w:rFonts w:ascii="Times New Roman" w:cs="Times New Roman" w:eastAsia="Times New Roman" w:hAnsi="Times New Roman"/>
          <w:b/>
          <w:bCs/>
          <w:color w:val="000000"/>
          <w:sz w:val="24"/>
          <w:szCs w:val="24"/>
        </w:rPr>
        <w:t xml:space="preserve">Prompt Design</w:t>
      </w:r>
    </w:p>
    <w:p>
      <w:pPr>
        <w:spacing w:after="160" w:line="300"/>
        <w:jc w:val="both"/>
      </w:pPr>
      <w:r>
        <w:rPr>
          <w:rFonts w:ascii="Times New Roman" w:cs="Times New Roman" w:eastAsia="Times New Roman" w:hAnsi="Times New Roman"/>
          <w:sz w:val="24"/>
          <w:szCs w:val="24"/>
        </w:rPr>
        <w:t xml:space="preserve">Thirty prompts were written for each category, in four types (Table 2). Generic prompts ask for the best products in the category. Use-case prompts add a need or situation, such as oily skin, humid weather in Mumbai or calls on a local train, and correspond to category entry points. Price-band prompts set a ceiling in rupees at realistic Indian price points. Comparison prompts name one D2C-origin brand and one incumbent. The comparison pairs were balanced so that each study brand appears in exactly two prompts, and the D2C-origin brand is named first in half of them.</w:t>
      </w:r>
    </w:p>
    <w:p>
      <w:pPr>
        <w:spacing w:after="160" w:line="300"/>
        <w:jc w:val="both"/>
      </w:pPr>
      <w:r>
        <w:rPr>
          <w:rFonts w:ascii="Times New Roman" w:cs="Times New Roman" w:eastAsia="Times New Roman" w:hAnsi="Times New Roman"/>
          <w:sz w:val="24"/>
          <w:szCs w:val="24"/>
        </w:rPr>
        <w:t xml:space="preserve">Prompts were written in plain English in the way Indian shoppers phrase such questions, with "in India" where it would naturally appear. No generic, use-case or price-band prompt names a brand; a script confirmed that none contains any brand name or alias in the study set. These 48 prompts are used for awareness, prominence and sources. The 12 comparison prompts are used only for model image and accuracy, because naming a brand in the prompt guarantees its appearance in the answer. The full prompt set is reproduced in Appendix A. It was frozen, and its SHA-256 hash recorded, before data collection began.</w:t>
      </w:r>
    </w:p>
    <w:p>
      <w:pPr>
        <w:keepNext/>
        <w:spacing w:after="80" w:before="200"/>
      </w:pPr>
      <w:r>
        <w:rPr>
          <w:rFonts w:ascii="Times New Roman" w:cs="Times New Roman" w:eastAsia="Times New Roman" w:hAnsi="Times New Roman"/>
          <w:b/>
          <w:bCs/>
          <w:sz w:val="21"/>
          <w:szCs w:val="21"/>
        </w:rPr>
        <w:t xml:space="preserve">Table 2.</w:t>
      </w:r>
      <w:r>
        <w:rPr>
          <w:rFonts w:ascii="Times New Roman" w:cs="Times New Roman" w:eastAsia="Times New Roman" w:hAnsi="Times New Roman"/>
          <w:sz w:val="21"/>
          <w:szCs w:val="21"/>
        </w:rPr>
        <w:t xml:space="preserve"> Prompt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8"/>
        <w:gridCol w:w="921"/>
        <w:gridCol w:w="2738"/>
        <w:gridCol w:w="2383"/>
        <w:gridCol w:w="1876"/>
      </w:tblGrid>
      <w:tr>
        <w:trPr>
          <w:cantSplit/>
          <w:tblHeader/>
        </w:trPr>
        <w:tc>
          <w:tcPr>
            <w:tcW w:type="dxa" w:w="1108"/>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Prompt type</w:t>
            </w:r>
          </w:p>
        </w:tc>
        <w:tc>
          <w:tcPr>
            <w:tcW w:type="dxa" w:w="921"/>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Per category</w:t>
            </w:r>
          </w:p>
        </w:tc>
        <w:tc>
          <w:tcPr>
            <w:tcW w:type="dxa" w:w="2738"/>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Example (skincare)</w:t>
            </w:r>
          </w:p>
        </w:tc>
        <w:tc>
          <w:tcPr>
            <w:tcW w:type="dxa" w:w="2383"/>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Example (earbuds)</w:t>
            </w:r>
          </w:p>
        </w:tc>
        <w:tc>
          <w:tcPr>
            <w:tcW w:type="dxa" w:w="1876"/>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Used for</w:t>
            </w:r>
          </w:p>
        </w:tc>
      </w:tr>
      <w:tr>
        <w:trPr>
          <w:cantSplit/>
          <w:tblHeader w:val="off"/>
        </w:trPr>
        <w:tc>
          <w:tcPr>
            <w:tcW w:type="dxa" w:w="110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921"/>
            <w:tcBorders>
              <w:top w:val="none" w:color="FFFFFF" w:sz="0"/>
              <w:left w:val="none" w:color="FFFFFF" w:sz="0"/>
              <w:bottom w:val="none" w:color="FFFFFF" w:sz="0"/>
              <w:right w:val="none" w:color="FFFFFF" w:sz="0"/>
            </w:tcBorders>
            <w:tcMar>
              <w:top w:type="dxa" w:w="30"/>
              <w:left w:type="dxa" w:w="70"/>
              <w:bottom w:type="dxa" w:w="30"/>
              <w:right w:type="dxa" w:w="70"/>
            </w:tcMar>
          </w:tcPr>
          <w:p>
            <w:pPr>
              <w:jc w:val="right"/>
            </w:pPr>
            <w:r>
              <w:rPr>
                <w:rFonts w:ascii="Times New Roman" w:cs="Times New Roman" w:eastAsia="Times New Roman" w:hAnsi="Times New Roman"/>
                <w:sz w:val="19"/>
                <w:szCs w:val="19"/>
              </w:rPr>
              <w:t xml:space="preserve">10</w:t>
            </w:r>
          </w:p>
        </w:tc>
        <w:tc>
          <w:tcPr>
            <w:tcW w:type="dxa" w:w="27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are the best face serums available in India?</w:t>
            </w:r>
          </w:p>
        </w:tc>
        <w:tc>
          <w:tcPr>
            <w:tcW w:type="dxa" w:w="23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are the best wireless earbuds in India?</w:t>
            </w:r>
          </w:p>
        </w:tc>
        <w:tc>
          <w:tcPr>
            <w:tcW w:type="dxa" w:w="187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Awareness, prominence, image, sources</w:t>
            </w:r>
          </w:p>
        </w:tc>
      </w:tr>
      <w:tr>
        <w:trPr>
          <w:cantSplit/>
          <w:tblHeader w:val="off"/>
        </w:trPr>
        <w:tc>
          <w:tcPr>
            <w:tcW w:type="dxa" w:w="110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921"/>
            <w:tcBorders>
              <w:top w:val="none" w:color="FFFFFF" w:sz="0"/>
              <w:left w:val="none" w:color="FFFFFF" w:sz="0"/>
              <w:bottom w:val="none" w:color="FFFFFF" w:sz="0"/>
              <w:right w:val="none" w:color="FFFFFF" w:sz="0"/>
            </w:tcBorders>
            <w:tcMar>
              <w:top w:type="dxa" w:w="30"/>
              <w:left w:type="dxa" w:w="70"/>
              <w:bottom w:type="dxa" w:w="30"/>
              <w:right w:type="dxa" w:w="70"/>
            </w:tcMar>
          </w:tcPr>
          <w:p>
            <w:pPr>
              <w:jc w:val="right"/>
            </w:pPr>
            <w:r>
              <w:rPr>
                <w:rFonts w:ascii="Times New Roman" w:cs="Times New Roman" w:eastAsia="Times New Roman" w:hAnsi="Times New Roman"/>
                <w:sz w:val="19"/>
                <w:szCs w:val="19"/>
              </w:rPr>
              <w:t xml:space="preserve">8</w:t>
            </w:r>
          </w:p>
        </w:tc>
        <w:tc>
          <w:tcPr>
            <w:tcW w:type="dxa" w:w="27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serum is good for oily and acne-prone skin?</w:t>
            </w:r>
          </w:p>
        </w:tc>
        <w:tc>
          <w:tcPr>
            <w:tcW w:type="dxa" w:w="23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earbuds are best for the gym and running?</w:t>
            </w:r>
          </w:p>
        </w:tc>
        <w:tc>
          <w:tcPr>
            <w:tcW w:type="dxa" w:w="187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Awareness, prominence, image, sources</w:t>
            </w:r>
          </w:p>
        </w:tc>
      </w:tr>
      <w:tr>
        <w:trPr>
          <w:cantSplit/>
          <w:tblHeader w:val="off"/>
        </w:trPr>
        <w:tc>
          <w:tcPr>
            <w:tcW w:type="dxa" w:w="110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921"/>
            <w:tcBorders>
              <w:top w:val="none" w:color="FFFFFF" w:sz="0"/>
              <w:left w:val="none" w:color="FFFFFF" w:sz="0"/>
              <w:bottom w:val="none" w:color="FFFFFF" w:sz="0"/>
              <w:right w:val="none" w:color="FFFFFF" w:sz="0"/>
            </w:tcBorders>
            <w:tcMar>
              <w:top w:type="dxa" w:w="30"/>
              <w:left w:type="dxa" w:w="70"/>
              <w:bottom w:type="dxa" w:w="30"/>
              <w:right w:type="dxa" w:w="70"/>
            </w:tcMar>
          </w:tcPr>
          <w:p>
            <w:pPr>
              <w:jc w:val="right"/>
            </w:pPr>
            <w:r>
              <w:rPr>
                <w:rFonts w:ascii="Times New Roman" w:cs="Times New Roman" w:eastAsia="Times New Roman" w:hAnsi="Times New Roman"/>
                <w:sz w:val="19"/>
                <w:szCs w:val="19"/>
              </w:rPr>
              <w:t xml:space="preserve">6</w:t>
            </w:r>
          </w:p>
        </w:tc>
        <w:tc>
          <w:tcPr>
            <w:tcW w:type="dxa" w:w="27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Best face serum under Rs. 500 in India</w:t>
            </w:r>
          </w:p>
        </w:tc>
        <w:tc>
          <w:tcPr>
            <w:tcW w:type="dxa" w:w="23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Best earbuds under Rs. 1000 in India</w:t>
            </w:r>
          </w:p>
        </w:tc>
        <w:tc>
          <w:tcPr>
            <w:tcW w:type="dxa" w:w="187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Awareness, prominence, image, sources</w:t>
            </w:r>
          </w:p>
        </w:tc>
      </w:tr>
      <w:tr>
        <w:trPr>
          <w:cantSplit/>
          <w:tblHeader w:val="off"/>
        </w:trPr>
        <w:tc>
          <w:tcPr>
            <w:tcW w:type="dxa" w:w="110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921"/>
            <w:tcBorders>
              <w:top w:val="none" w:color="FFFFFF" w:sz="0"/>
              <w:left w:val="none" w:color="FFFFFF" w:sz="0"/>
              <w:bottom w:val="none" w:color="FFFFFF" w:sz="0"/>
              <w:right w:val="none" w:color="FFFFFF" w:sz="0"/>
            </w:tcBorders>
            <w:tcMar>
              <w:top w:type="dxa" w:w="30"/>
              <w:left w:type="dxa" w:w="70"/>
              <w:bottom w:type="dxa" w:w="30"/>
              <w:right w:type="dxa" w:w="70"/>
            </w:tcMar>
          </w:tcPr>
          <w:p>
            <w:pPr>
              <w:jc w:val="right"/>
            </w:pPr>
            <w:r>
              <w:rPr>
                <w:rFonts w:ascii="Times New Roman" w:cs="Times New Roman" w:eastAsia="Times New Roman" w:hAnsi="Times New Roman"/>
                <w:sz w:val="19"/>
                <w:szCs w:val="19"/>
              </w:rPr>
              <w:t xml:space="preserve">6</w:t>
            </w:r>
          </w:p>
        </w:tc>
        <w:tc>
          <w:tcPr>
            <w:tcW w:type="dxa" w:w="27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Is Minimalist better than Cetaphil for sensitive skin?</w:t>
            </w:r>
          </w:p>
        </w:tc>
        <w:tc>
          <w:tcPr>
            <w:tcW w:type="dxa" w:w="23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Is boAt better than Sony for earbuds?</w:t>
            </w:r>
          </w:p>
        </w:tc>
        <w:tc>
          <w:tcPr>
            <w:tcW w:type="dxa" w:w="1876"/>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Image and accuracy only</w:t>
            </w:r>
          </w:p>
        </w:tc>
      </w:tr>
      <w:tr>
        <w:trPr>
          <w:cantSplit/>
          <w:tblHeader w:val="off"/>
        </w:trPr>
        <w:tc>
          <w:tcPr>
            <w:tcW w:type="dxa" w:w="1108"/>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Total</w:t>
            </w:r>
          </w:p>
        </w:tc>
        <w:tc>
          <w:tcPr>
            <w:tcW w:type="dxa" w:w="921"/>
            <w:tcBorders>
              <w:top w:val="none" w:color="FFFFFF" w:sz="0"/>
              <w:left w:val="none" w:color="FFFFFF" w:sz="0"/>
              <w:bottom w:val="single" w:color="000000" w:sz="4"/>
              <w:right w:val="none" w:color="FFFFFF" w:sz="0"/>
            </w:tcBorders>
            <w:tcMar>
              <w:top w:type="dxa" w:w="30"/>
              <w:left w:type="dxa" w:w="70"/>
              <w:bottom w:type="dxa" w:w="30"/>
              <w:right w:type="dxa" w:w="70"/>
            </w:tcMar>
          </w:tcPr>
          <w:p>
            <w:pPr>
              <w:jc w:val="right"/>
            </w:pPr>
            <w:r>
              <w:rPr>
                <w:rFonts w:ascii="Times New Roman" w:cs="Times New Roman" w:eastAsia="Times New Roman" w:hAnsi="Times New Roman"/>
                <w:sz w:val="19"/>
                <w:szCs w:val="19"/>
              </w:rPr>
              <w:t xml:space="preserve">30</w:t>
            </w:r>
          </w:p>
        </w:tc>
        <w:tc>
          <w:tcPr>
            <w:tcW w:type="dxa" w:w="2738"/>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p>
        </w:tc>
        <w:tc>
          <w:tcPr>
            <w:tcW w:type="dxa" w:w="2383"/>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p>
        </w:tc>
        <w:tc>
          <w:tcPr>
            <w:tcW w:type="dxa" w:w="1876"/>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p>
        </w:tc>
      </w:tr>
    </w:tbl>
    <w:p>
      <w:pPr>
        <w:spacing w:after="200" w:before="60"/>
      </w:pPr>
      <w:r>
        <w:rPr>
          <w:rFonts w:ascii="Times New Roman" w:cs="Times New Roman" w:eastAsia="Times New Roman" w:hAnsi="Times New Roman"/>
          <w:i/>
          <w:iCs/>
          <w:sz w:val="18"/>
          <w:szCs w:val="18"/>
        </w:rPr>
        <w:t xml:space="preserve">Note.</w:t>
      </w:r>
      <w:r>
        <w:rPr>
          <w:rFonts w:ascii="Times New Roman" w:cs="Times New Roman" w:eastAsia="Times New Roman" w:hAnsi="Times New Roman"/>
          <w:sz w:val="18"/>
          <w:szCs w:val="18"/>
        </w:rPr>
        <w:t xml:space="preserve"> Full prompt list in Appendix A. Rs. denotes Indian rupees.</w:t>
      </w:r>
    </w:p>
    <w:p>
      <w:pPr>
        <w:pStyle w:val="Heading2"/>
        <w:keepNext/>
        <w:spacing w:after="100" w:before="240"/>
      </w:pPr>
      <w:r>
        <w:rPr>
          <w:rFonts w:ascii="Times New Roman" w:cs="Times New Roman" w:eastAsia="Times New Roman" w:hAnsi="Times New Roman"/>
          <w:b/>
          <w:bCs/>
          <w:color w:val="000000"/>
          <w:sz w:val="24"/>
          <w:szCs w:val="24"/>
        </w:rPr>
        <w:t xml:space="preserve">Platforms and Data Collection</w:t>
      </w:r>
    </w:p>
    <w:p>
      <w:pPr>
        <w:spacing w:after="160" w:line="300"/>
        <w:jc w:val="both"/>
      </w:pPr>
      <w:r>
        <w:rPr>
          <w:rFonts w:ascii="Times New Roman" w:cs="Times New Roman" w:eastAsia="Times New Roman" w:hAnsi="Times New Roman"/>
          <w:sz w:val="24"/>
          <w:szCs w:val="24"/>
        </w:rPr>
        <w:t xml:space="preserve">Each prompt was submitted five times to each of four platforms, giving 60 prompts x 4 platforms x 5 repetitions = 1,200 scheduled calls. The platforms were reached through the official programmatic interfaces each provider offers, because the consumer apps cannot be queried at this scale reliably or within their terms of use.</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ChatGPT</w:t>
      </w:r>
      <w:r>
        <w:rPr>
          <w:rFonts w:ascii="Times New Roman" w:cs="Times New Roman" w:eastAsia="Times New Roman" w:hAnsi="Times New Roman"/>
          <w:sz w:val="24"/>
          <w:szCs w:val="24"/>
        </w:rPr>
        <w:t xml:space="preserve"> was represented by the OpenAI Responses API with its built-in web search tool, using [MODEL], the API counterpart of the default model for free ChatGPT users at the time of collection. The approximate user location was set to Mumbai, India, and the model was left to decide whether to search, as in the consumer product.</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Gemini</w:t>
      </w:r>
      <w:r>
        <w:rPr>
          <w:rFonts w:ascii="Times New Roman" w:cs="Times New Roman" w:eastAsia="Times New Roman" w:hAnsi="Times New Roman"/>
          <w:sz w:val="24"/>
          <w:szCs w:val="24"/>
        </w:rPr>
        <w:t xml:space="preserve"> was represented by the Gemini API with grounding in Google Search, using [MODEL], the model then serving free users of the Gemini app. The grounding tool accepts no location parameter; all requests originated from Mumbai.</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Perplexity</w:t>
      </w:r>
      <w:r>
        <w:rPr>
          <w:rFonts w:ascii="Times New Roman" w:cs="Times New Roman" w:eastAsia="Times New Roman" w:hAnsi="Times New Roman"/>
          <w:sz w:val="24"/>
          <w:szCs w:val="24"/>
        </w:rPr>
        <w:t xml:space="preserve"> was represented by the Perplexity Agent API with its "fast" preset, which Perplexity designates as the successor to the Sonar model it retired on 27 September 2026. The preset bundles Perplexity's own system prompt and search configuration; at the time of collection it generated answers with [MODEL]. Location was set to Mumbai, India.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Google AI Overviews</w:t>
      </w:r>
      <w:r>
        <w:rPr>
          <w:rFonts w:ascii="Times New Roman" w:cs="Times New Roman" w:eastAsia="Times New Roman" w:hAnsi="Times New Roman"/>
          <w:sz w:val="24"/>
          <w:szCs w:val="24"/>
        </w:rPr>
        <w:t xml:space="preserve"> were captured from Google Search results for India (google.co.in, English, location Mumbai) through the SerpApi service, with caching disabled so that every repetition triggered a fresh search. When Google showed no AI Overview for a query, the call was recorded as "no overview", a non-response, rather than as zero visibility.</w:t>
      </w:r>
    </w:p>
    <w:p>
      <w:pPr>
        <w:spacing w:after="160" w:line="300"/>
        <w:jc w:val="both"/>
      </w:pPr>
      <w:r>
        <w:rPr>
          <w:rFonts w:ascii="Times New Roman" w:cs="Times New Roman" w:eastAsia="Times New Roman" w:hAnsi="Times New Roman"/>
          <w:sz w:val="24"/>
          <w:szCs w:val="24"/>
        </w:rPr>
        <w:t xml:space="preserve">Each repetition was an independent call with no conversation history. Sampling settings were left at platform defaults, since the aim was to observe what the systems produce by default, and no system prompt was added. The 1,200 calls were placed in an order randomised with a fixed seed, so that time-of-day effects were spread across prompts and platforms rather than concentrated on any of them. Data were collected between [START] and [END] IST. Each record stores the exact request parameters, the model identifier returned by the platform, timestamps in UTC and IST, the full response text, every displayed source with its URL, and the raw response. Failed calls were retried up to twice with back-off and recorded as failures if they still failed; none were dropped or replaced. Figure 2 summarises the pipeline with the realised counts.</w:t>
      </w:r>
    </w:p>
    <w:p>
      <w:r>
        <w:rPr>
          <w:rFonts w:ascii="Times New Roman" w:cs="Times New Roman" w:eastAsia="Times New Roman" w:hAnsi="Times New Roman"/>
          <w:color w:val="7F6000"/>
          <w:sz w:val="21"/>
          <w:szCs w:val="21"/>
        </w:rPr>
        <w:t xml:space="preserve">[Figure pending: outputs/figures/fig2_pipeline.png] </w:t>
      </w:r>
      <w:r>
        <w:rPr>
          <w:rFonts w:ascii="Times New Roman" w:cs="Times New Roman" w:eastAsia="Times New Roman" w:hAnsi="Times New Roman"/>
          <w:b/>
          <w:bCs/>
          <w:color w:val="7F6000"/>
          <w:sz w:val="21"/>
          <w:szCs w:val="21"/>
        </w:rPr>
        <w:t xml:space="preserve">Figure 2.</w:t>
      </w:r>
      <w:r>
        <w:rPr>
          <w:rFonts w:ascii="Times New Roman" w:cs="Times New Roman" w:eastAsia="Times New Roman" w:hAnsi="Times New Roman"/>
          <w:color w:val="7F6000"/>
          <w:sz w:val="21"/>
          <w:szCs w:val="21"/>
        </w:rPr>
        <w:t xml:space="preserve"> Audit pipeline with realised counts. All counts are read by script from the collection log and output tables.</w:t>
      </w:r>
    </w:p>
    <w:p>
      <w:pPr>
        <w:spacing w:after="160" w:line="300"/>
        <w:jc w:val="both"/>
      </w:pPr>
      <w:r>
        <w:rPr>
          <w:rFonts w:ascii="Times New Roman" w:cs="Times New Roman" w:eastAsia="Times New Roman" w:hAnsi="Times New Roman"/>
          <w:sz w:val="24"/>
          <w:szCs w:val="24"/>
        </w:rPr>
        <w:t xml:space="preserve">Access through APIs has a cost that the design cannot remove. API outputs can differ from what a person sees in the consumer app, because the apps add their own system prompts, personalisation, interface features and, in some cases, different search back-ends. Marin et al. (2026) found that domains displayed for the same query overlapped by only 12.0% between ChatGPT's API and its interface, and by 14.8% for Gemini. Żatuchin (2026b), on the other hand, found that the instability of top recommendations was the same in the ChatGPT interface and in the API. The findings below therefore describe what the four systems produce under documented, reproducible conditions, which is close to, but not identical with, what Indian consumers see.</w:t>
      </w:r>
    </w:p>
    <w:p>
      <w:pPr>
        <w:pStyle w:val="Heading2"/>
        <w:keepNext/>
        <w:spacing w:after="100" w:before="240"/>
      </w:pPr>
      <w:r>
        <w:rPr>
          <w:rFonts w:ascii="Times New Roman" w:cs="Times New Roman" w:eastAsia="Times New Roman" w:hAnsi="Times New Roman"/>
          <w:b/>
          <w:bCs/>
          <w:color w:val="000000"/>
          <w:sz w:val="24"/>
          <w:szCs w:val="24"/>
        </w:rPr>
        <w:t xml:space="preserve">Coding</w:t>
      </w:r>
    </w:p>
    <w:p>
      <w:pPr>
        <w:spacing w:after="160" w:line="300"/>
        <w:jc w:val="both"/>
      </w:pPr>
      <w:r>
        <w:rPr>
          <w:rFonts w:ascii="Times New Roman" w:cs="Times New Roman" w:eastAsia="Times New Roman" w:hAnsi="Times New Roman"/>
          <w:sz w:val="24"/>
          <w:szCs w:val="24"/>
        </w:rPr>
        <w:t xml:space="preserve">Responses were coded at two levels: the response, and each study brand within a response. A written coding manual defined every variable and decision rule before coding began (Krippendorff, 2019).</w:t>
      </w:r>
    </w:p>
    <w:p>
      <w:pPr>
        <w:spacing w:after="160" w:line="300"/>
        <w:jc w:val="both"/>
      </w:pPr>
      <w:r>
        <w:rPr>
          <w:rFonts w:ascii="Times New Roman" w:cs="Times New Roman" w:eastAsia="Times New Roman" w:hAnsi="Times New Roman"/>
          <w:b/>
          <w:bCs/>
          <w:sz w:val="24"/>
          <w:szCs w:val="24"/>
        </w:rPr>
        <w:t xml:space="preserve">Mentions and position</w:t>
      </w:r>
      <w:r>
        <w:rPr>
          <w:rFonts w:ascii="Times New Roman" w:cs="Times New Roman" w:eastAsia="Times New Roman" w:hAnsi="Times New Roman"/>
          <w:sz w:val="24"/>
          <w:szCs w:val="24"/>
        </w:rPr>
        <w:t xml:space="preserve"> were detected deterministically. Each brand had an alias list covering spelling variants, legal names and distinctive product lines (for example "Airdopes" for boAt and "Hydro Boost" for Neutrogena). Aliases were matched on word boundaries after URLs and citation markers had been removed from the answer text. Four brand names are also ordinary words or ingredients: Minimalist ("a minimalist routine"), Plum ("Kakadu plum extract"), Noise ("noise cancellation") and boAt. For these, matches were case-sensitive where appropriate, known non-brand phrases were excluded, and every remaining match was cross-checked against the coder's judgement described below, with disagreements resolved by a human author. Position is the order in which a brand is first named among all brands in the answer.</w:t>
      </w:r>
    </w:p>
    <w:p>
      <w:pPr>
        <w:spacing w:after="160" w:line="300"/>
        <w:jc w:val="both"/>
      </w:pPr>
      <w:r>
        <w:rPr>
          <w:rFonts w:ascii="Times New Roman" w:cs="Times New Roman" w:eastAsia="Times New Roman" w:hAnsi="Times New Roman"/>
          <w:b/>
          <w:bCs/>
          <w:sz w:val="24"/>
          <w:szCs w:val="24"/>
        </w:rPr>
        <w:t xml:space="preserve">Answer form, top pick, stance, attributes, sentiment and factual claims</w:t>
      </w:r>
      <w:r>
        <w:rPr>
          <w:rFonts w:ascii="Times New Roman" w:cs="Times New Roman" w:eastAsia="Times New Roman" w:hAnsi="Times New Roman"/>
          <w:sz w:val="24"/>
          <w:szCs w:val="24"/>
        </w:rPr>
        <w:t xml:space="preserve"> were coded with a large language model as first-pass coder, a practice that performs well on annotation tasks but requires validation against human coders (Gilardi et al., 2023; Pangakis et al., 2023). The coder was Claude Opus 5.5 (Anthropic), chosen because its provider is independent of the four audited platforms; language models used as evaluators have been shown to favour text they themselves generated (Panickssery et al., 2024). The coder saw only the shopper's question and the answer text. It did not see the platform, the repetition or any brand's classification. It received the full coding manual and returned output constrained to a fixed schema that required a decision for every study brand in the category. Attributes were coded from a closed list of sixteen codes per category. Sentiment towards each brand was coded as positive, neutral, mixed or negative.</w:t>
      </w:r>
    </w:p>
    <w:p>
      <w:pPr>
        <w:spacing w:after="160" w:line="300"/>
        <w:jc w:val="both"/>
      </w:pPr>
      <w:r>
        <w:rPr>
          <w:rFonts w:ascii="Times New Roman" w:cs="Times New Roman" w:eastAsia="Times New Roman" w:hAnsi="Times New Roman"/>
          <w:b/>
          <w:bCs/>
          <w:sz w:val="24"/>
          <w:szCs w:val="24"/>
        </w:rPr>
        <w:t xml:space="preserve">Factual accuracy</w:t>
      </w:r>
      <w:r>
        <w:rPr>
          <w:rFonts w:ascii="Times New Roman" w:cs="Times New Roman" w:eastAsia="Times New Roman" w:hAnsi="Times New Roman"/>
          <w:sz w:val="24"/>
          <w:szCs w:val="24"/>
        </w:rPr>
        <w:t xml:space="preserve"> was assessed for claims about price, composition or specification, and origin or ownership. Each claim was compared with a fact sheet compiled from the brand's official website and recorded with source URL and retrieval date. Claims were classed as correct, incorrect or unverifiable; a price counted as correct when it fell within 20% of the official maximum retail price of the product named. Unverifiable claims are reported separately and are not counted as errors.</w:t>
      </w:r>
    </w:p>
    <w:p>
      <w:pPr>
        <w:spacing w:after="160" w:line="300"/>
        <w:jc w:val="both"/>
      </w:pPr>
      <w:r>
        <w:rPr>
          <w:rFonts w:ascii="Times New Roman" w:cs="Times New Roman" w:eastAsia="Times New Roman" w:hAnsi="Times New Roman"/>
          <w:b/>
          <w:bCs/>
          <w:sz w:val="24"/>
          <w:szCs w:val="24"/>
        </w:rPr>
        <w:t xml:space="preserve">Displayed sources</w:t>
      </w:r>
      <w:r>
        <w:rPr>
          <w:rFonts w:ascii="Times New Roman" w:cs="Times New Roman" w:eastAsia="Times New Roman" w:hAnsi="Times New Roman"/>
          <w:sz w:val="24"/>
          <w:szCs w:val="24"/>
        </w:rPr>
        <w:t xml:space="preserve"> were classified by registered domain into seven types (brand-owned, marketplace or retailer, review or comparison site, community or user-generated, editorial or press, encyclopaedic, video) plus "other", using a hand-built lookup table. Domains not in the table were classified by an author after inspection, never by guesswork. For ChatGPT and Gemini the displayed sources are the inline citations attached to the answer; for Perplexity they are the search results returned as source cards; for AI Overviews they are the references listed in the overview panel.</w:t>
      </w:r>
    </w:p>
    <w:p>
      <w:pPr>
        <w:pStyle w:val="Heading2"/>
        <w:keepNext/>
        <w:spacing w:after="100" w:before="240"/>
      </w:pPr>
      <w:r>
        <w:rPr>
          <w:rFonts w:ascii="Times New Roman" w:cs="Times New Roman" w:eastAsia="Times New Roman" w:hAnsi="Times New Roman"/>
          <w:b/>
          <w:bCs/>
          <w:color w:val="000000"/>
          <w:sz w:val="24"/>
          <w:szCs w:val="24"/>
        </w:rPr>
        <w:t xml:space="preserve">Measures</w:t>
      </w:r>
    </w:p>
    <w:p>
      <w:pPr>
        <w:spacing w:after="160" w:line="300"/>
        <w:jc w:val="both"/>
      </w:pPr>
      <w:r>
        <w:rPr>
          <w:rFonts w:ascii="Times New Roman" w:cs="Times New Roman" w:eastAsia="Times New Roman" w:hAnsi="Times New Roman"/>
          <w:sz w:val="24"/>
          <w:szCs w:val="24"/>
        </w:rPr>
        <w:t xml:space="preserve">Table 3 defines the measures. Awareness and prominence are computed on the 48 non-branded prompts only. The denominator for every rate is the number of valid responses, which excludes failed calls and AI Overview no-shows; denominators are reported with each estimate.</w:t>
      </w:r>
    </w:p>
    <w:p>
      <w:pPr>
        <w:keepNext/>
        <w:spacing w:after="80" w:before="200"/>
      </w:pPr>
      <w:r>
        <w:rPr>
          <w:rFonts w:ascii="Times New Roman" w:cs="Times New Roman" w:eastAsia="Times New Roman" w:hAnsi="Times New Roman"/>
          <w:b/>
          <w:bCs/>
          <w:sz w:val="21"/>
          <w:szCs w:val="21"/>
        </w:rPr>
        <w:t xml:space="preserve">Table 3.</w:t>
      </w:r>
      <w:r>
        <w:rPr>
          <w:rFonts w:ascii="Times New Roman" w:cs="Times New Roman" w:eastAsia="Times New Roman" w:hAnsi="Times New Roman"/>
          <w:sz w:val="21"/>
          <w:szCs w:val="21"/>
        </w:rPr>
        <w:t xml:space="preserve"> Measures of Generative Brand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2292"/>
        <w:gridCol w:w="4871"/>
      </w:tblGrid>
      <w:tr>
        <w:trPr>
          <w:cantSplit/>
          <w:tblHeader/>
        </w:trPr>
        <w:tc>
          <w:tcPr>
            <w:tcW w:type="dxa" w:w="1863"/>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Dimension</w:t>
            </w:r>
          </w:p>
        </w:tc>
        <w:tc>
          <w:tcPr>
            <w:tcW w:type="dxa" w:w="2292"/>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Measure</w:t>
            </w:r>
          </w:p>
        </w:tc>
        <w:tc>
          <w:tcPr>
            <w:tcW w:type="dxa" w:w="4871"/>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Definition</w:t>
            </w:r>
          </w:p>
        </w:tc>
      </w:tr>
      <w:tr>
        <w:trPr>
          <w:cantSplit/>
          <w:tblHeader w:val="off"/>
        </w:trPr>
        <w:tc>
          <w:tcPr>
            <w:tcW w:type="dxa" w:w="18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Model awareness</w:t>
            </w:r>
          </w:p>
        </w:tc>
        <w:tc>
          <w:tcPr>
            <w:tcW w:type="dxa" w:w="2292"/>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Mention rate</w:t>
            </w:r>
          </w:p>
        </w:tc>
        <w:tc>
          <w:tcPr>
            <w:tcW w:type="dxa" w:w="4871"/>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Valid non-branded responses naming the brand / all valid non-branded responses on that platform and category</w:t>
            </w:r>
          </w:p>
        </w:tc>
      </w:tr>
      <w:tr>
        <w:trPr>
          <w:cantSplit/>
          <w:tblHeader w:val="off"/>
        </w:trPr>
        <w:tc>
          <w:tcPr>
            <w:tcW w:type="dxa" w:w="18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Model awareness</w:t>
            </w:r>
          </w:p>
        </w:tc>
        <w:tc>
          <w:tcPr>
            <w:tcW w:type="dxa" w:w="2292"/>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Share of model</w:t>
            </w:r>
          </w:p>
        </w:tc>
        <w:tc>
          <w:tcPr>
            <w:tcW w:type="dxa" w:w="4871"/>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Mentions of the brand / mentions of all six study brands in the category (non-branded responses)</w:t>
            </w:r>
          </w:p>
        </w:tc>
      </w:tr>
      <w:tr>
        <w:trPr>
          <w:cantSplit/>
          <w:tblHeader w:val="off"/>
        </w:trPr>
        <w:tc>
          <w:tcPr>
            <w:tcW w:type="dxa" w:w="18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Model prominence</w:t>
            </w:r>
          </w:p>
        </w:tc>
        <w:tc>
          <w:tcPr>
            <w:tcW w:type="dxa" w:w="2292"/>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First-mention rate</w:t>
            </w:r>
          </w:p>
        </w:tc>
        <w:tc>
          <w:tcPr>
            <w:tcW w:type="dxa" w:w="4871"/>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Responses in which the brand is the first study brand named / valid non-branded responses</w:t>
            </w:r>
          </w:p>
        </w:tc>
      </w:tr>
      <w:tr>
        <w:trPr>
          <w:cantSplit/>
          <w:tblHeader w:val="off"/>
        </w:trPr>
        <w:tc>
          <w:tcPr>
            <w:tcW w:type="dxa" w:w="18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Model prominence</w:t>
            </w:r>
          </w:p>
        </w:tc>
        <w:tc>
          <w:tcPr>
            <w:tcW w:type="dxa" w:w="2292"/>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Top-pick rate</w:t>
            </w:r>
          </w:p>
        </w:tc>
        <w:tc>
          <w:tcPr>
            <w:tcW w:type="dxa" w:w="4871"/>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Responses presenting the brand as the single best choice / valid non-branded responses</w:t>
            </w:r>
          </w:p>
        </w:tc>
      </w:tr>
      <w:tr>
        <w:trPr>
          <w:cantSplit/>
          <w:tblHeader w:val="off"/>
        </w:trPr>
        <w:tc>
          <w:tcPr>
            <w:tcW w:type="dxa" w:w="18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Model prominence</w:t>
            </w:r>
          </w:p>
        </w:tc>
        <w:tc>
          <w:tcPr>
            <w:tcW w:type="dxa" w:w="2292"/>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Mean position</w:t>
            </w:r>
          </w:p>
        </w:tc>
        <w:tc>
          <w:tcPr>
            <w:tcW w:type="dxa" w:w="4871"/>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Mean order of first mention among all brands named, for responses that name the brand</w:t>
            </w:r>
          </w:p>
        </w:tc>
      </w:tr>
      <w:tr>
        <w:trPr>
          <w:cantSplit/>
          <w:tblHeader w:val="off"/>
        </w:trPr>
        <w:tc>
          <w:tcPr>
            <w:tcW w:type="dxa" w:w="18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Model image</w:t>
            </w:r>
          </w:p>
        </w:tc>
        <w:tc>
          <w:tcPr>
            <w:tcW w:type="dxa" w:w="2292"/>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Positioning recall</w:t>
            </w:r>
          </w:p>
        </w:tc>
        <w:tc>
          <w:tcPr>
            <w:tcW w:type="dxa" w:w="4871"/>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Descriptions of the brand carrying at least one of its own positioning attributes / descriptions with any coded attribute</w:t>
            </w:r>
          </w:p>
        </w:tc>
      </w:tr>
      <w:tr>
        <w:trPr>
          <w:cantSplit/>
          <w:tblHeader w:val="off"/>
        </w:trPr>
        <w:tc>
          <w:tcPr>
            <w:tcW w:type="dxa" w:w="18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Model image</w:t>
            </w:r>
          </w:p>
        </w:tc>
        <w:tc>
          <w:tcPr>
            <w:tcW w:type="dxa" w:w="2292"/>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Sentiment</w:t>
            </w:r>
          </w:p>
        </w:tc>
        <w:tc>
          <w:tcPr>
            <w:tcW w:type="dxa" w:w="4871"/>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Distribution of positive, neutral, mixed and negative descriptions of the brand</w:t>
            </w:r>
          </w:p>
        </w:tc>
      </w:tr>
      <w:tr>
        <w:trPr>
          <w:cantSplit/>
          <w:tblHeader w:val="off"/>
        </w:trPr>
        <w:tc>
          <w:tcPr>
            <w:tcW w:type="dxa" w:w="18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Model image</w:t>
            </w:r>
          </w:p>
        </w:tc>
        <w:tc>
          <w:tcPr>
            <w:tcW w:type="dxa" w:w="2292"/>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Accuracy rate</w:t>
            </w:r>
          </w:p>
        </w:tc>
        <w:tc>
          <w:tcPr>
            <w:tcW w:type="dxa" w:w="4871"/>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Correct factual claims / (correct + incorrect) claims; unverifiable claims reported separately</w:t>
            </w:r>
          </w:p>
        </w:tc>
      </w:tr>
      <w:tr>
        <w:trPr>
          <w:cantSplit/>
          <w:tblHeader w:val="off"/>
        </w:trPr>
        <w:tc>
          <w:tcPr>
            <w:tcW w:type="dxa" w:w="18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Model credibility</w:t>
            </w:r>
          </w:p>
        </w:tc>
        <w:tc>
          <w:tcPr>
            <w:tcW w:type="dxa" w:w="2292"/>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Source mix</w:t>
            </w:r>
          </w:p>
        </w:tc>
        <w:tc>
          <w:tcPr>
            <w:tcW w:type="dxa" w:w="4871"/>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Share of each source type among sources displayed with responses that name the brand</w:t>
            </w:r>
          </w:p>
        </w:tc>
      </w:tr>
      <w:tr>
        <w:trPr>
          <w:cantSplit/>
          <w:tblHeader w:val="off"/>
        </w:trPr>
        <w:tc>
          <w:tcPr>
            <w:tcW w:type="dxa" w:w="18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Model credibility</w:t>
            </w:r>
          </w:p>
        </w:tc>
        <w:tc>
          <w:tcPr>
            <w:tcW w:type="dxa" w:w="2292"/>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Own-site citation rate</w:t>
            </w:r>
          </w:p>
        </w:tc>
        <w:tc>
          <w:tcPr>
            <w:tcW w:type="dxa" w:w="4871"/>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Responses naming the brand that display the brand's own website / responses naming the brand</w:t>
            </w:r>
          </w:p>
        </w:tc>
      </w:tr>
      <w:tr>
        <w:trPr>
          <w:cantSplit/>
          <w:tblHeader w:val="off"/>
        </w:trPr>
        <w:tc>
          <w:tcPr>
            <w:tcW w:type="dxa" w:w="186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Stability</w:t>
            </w:r>
          </w:p>
        </w:tc>
        <w:tc>
          <w:tcPr>
            <w:tcW w:type="dxa" w:w="2292"/>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Run-to-run Jaccard</w:t>
            </w:r>
          </w:p>
        </w:tc>
        <w:tc>
          <w:tcPr>
            <w:tcW w:type="dxa" w:w="4871"/>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Mean pairwise Jaccard similarity J of the sets of study brands named across the five runs of a prompt (10 pairs)</w:t>
            </w:r>
          </w:p>
        </w:tc>
      </w:tr>
      <w:tr>
        <w:trPr>
          <w:cantSplit/>
          <w:tblHeader w:val="off"/>
        </w:trPr>
        <w:tc>
          <w:tcPr>
            <w:tcW w:type="dxa" w:w="1863"/>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Stability</w:t>
            </w:r>
          </w:p>
        </w:tc>
        <w:tc>
          <w:tcPr>
            <w:tcW w:type="dxa" w:w="2292"/>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Cross-platform spread</w:t>
            </w:r>
          </w:p>
        </w:tc>
        <w:tc>
          <w:tcPr>
            <w:tcW w:type="dxa" w:w="4871"/>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Range of a brand's mention rate across the four platforms</w:t>
            </w:r>
          </w:p>
        </w:tc>
      </w:tr>
    </w:tbl>
    <w:p>
      <w:pPr>
        <w:spacing w:after="200" w:before="60"/>
      </w:pPr>
      <w:r>
        <w:rPr>
          <w:rFonts w:ascii="Times New Roman" w:cs="Times New Roman" w:eastAsia="Times New Roman" w:hAnsi="Times New Roman"/>
          <w:i/>
          <w:iCs/>
          <w:sz w:val="18"/>
          <w:szCs w:val="18"/>
        </w:rPr>
        <w:t xml:space="preserve">Note.</w:t>
      </w:r>
      <w:r>
        <w:rPr>
          <w:rFonts w:ascii="Times New Roman" w:cs="Times New Roman" w:eastAsia="Times New Roman" w:hAnsi="Times New Roman"/>
          <w:sz w:val="18"/>
          <w:szCs w:val="18"/>
        </w:rPr>
        <w:t xml:space="preserve"> Valid responses exclude failed calls and AI Overview no-shows. Jaccard (1912) similarity J(A, B) = |A ∩ B| / |A ∪ B|; two empty sets are counted as identical (J = 1), and the share of such pairs is reported.</w:t>
      </w:r>
    </w:p>
    <w:p>
      <w:pPr>
        <w:pStyle w:val="Heading2"/>
        <w:keepNext/>
        <w:spacing w:after="100" w:before="240"/>
      </w:pPr>
      <w:r>
        <w:rPr>
          <w:rFonts w:ascii="Times New Roman" w:cs="Times New Roman" w:eastAsia="Times New Roman" w:hAnsi="Times New Roman"/>
          <w:b/>
          <w:bCs/>
          <w:color w:val="000000"/>
          <w:sz w:val="24"/>
          <w:szCs w:val="24"/>
        </w:rPr>
        <w:t xml:space="preserve">Analysis</w:t>
      </w:r>
    </w:p>
    <w:p>
      <w:pPr>
        <w:spacing w:after="160" w:line="300"/>
        <w:jc w:val="both"/>
      </w:pPr>
      <w:r>
        <w:rPr>
          <w:rFonts w:ascii="Times New Roman" w:cs="Times New Roman" w:eastAsia="Times New Roman" w:hAnsi="Times New Roman"/>
          <w:sz w:val="24"/>
          <w:szCs w:val="24"/>
        </w:rPr>
        <w:t xml:space="preserve">The analysis is descriptive and comparative. Because the five repetitions of a prompt on a platform are not independent of one another, uncertainty is estimated with a cluster bootstrap that resamples prompts rather than individual responses (Field &amp; Welsh, 2007), using 2,000 resamples and percentile 95% confidence intervals (Efron &amp; Tibshirani, 1994). Differences between D2C-origin brands and incumbents are reported as differences in proportions with these intervals. As a check, the same contrasts are estimated with a logistic generalised estimating equation (GEE) with exchangeable correlation within prompts (Liang &amp; Zeger, 1986). Effect sizes are reported alongside any test, and with only six brands per category the brand-type comparisons are treated as descriptive of this brand set rather than as estimates for D2C brands in general. Agreement between model visibility and marketplace benchmarks is summarised with Spearman's rank correlation, with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stated.</w:t>
      </w:r>
    </w:p>
    <w:p>
      <w:pPr>
        <w:pStyle w:val="Heading2"/>
        <w:keepNext/>
        <w:spacing w:after="100" w:before="240"/>
      </w:pPr>
      <w:r>
        <w:rPr>
          <w:rFonts w:ascii="Times New Roman" w:cs="Times New Roman" w:eastAsia="Times New Roman" w:hAnsi="Times New Roman"/>
          <w:b/>
          <w:bCs/>
          <w:color w:val="000000"/>
          <w:sz w:val="24"/>
          <w:szCs w:val="24"/>
        </w:rPr>
        <w:t xml:space="preserve">Benchmarks</w:t>
      </w:r>
    </w:p>
    <w:p>
      <w:pPr>
        <w:spacing w:after="160" w:line="300"/>
        <w:jc w:val="both"/>
      </w:pPr>
      <w:r>
        <w:rPr>
          <w:rFonts w:ascii="Times New Roman" w:cs="Times New Roman" w:eastAsia="Times New Roman" w:hAnsi="Times New Roman"/>
          <w:sz w:val="24"/>
          <w:szCs w:val="24"/>
        </w:rPr>
        <w:t xml:space="preserve">To see whether generative visibility reflects market standing, model measures are compared with two kinds of benchmark. Marketplace ratings and review counts for each brand's best-selling product in the category were recorded by hand by two authors on a single date from Amazon.in, Flipkart and, for skincare, Nykaa; no marketplace was scraped. For earbuds, publicly reported shipment shares from IDC's India wearables tracker are used where available. Market share data for private D2C skincare brands are not public, which limits this comparison for skincare.</w:t>
      </w:r>
    </w:p>
    <w:p>
      <w:pPr>
        <w:pStyle w:val="Heading2"/>
        <w:keepNext/>
        <w:spacing w:after="100" w:before="240"/>
      </w:pPr>
      <w:r>
        <w:rPr>
          <w:rFonts w:ascii="Times New Roman" w:cs="Times New Roman" w:eastAsia="Times New Roman" w:hAnsi="Times New Roman"/>
          <w:b/>
          <w:bCs/>
          <w:color w:val="000000"/>
          <w:sz w:val="24"/>
          <w:szCs w:val="24"/>
        </w:rPr>
        <w:t xml:space="preserve">Reliability</w:t>
      </w:r>
    </w:p>
    <w:p>
      <w:pPr>
        <w:spacing w:after="160" w:line="300"/>
        <w:jc w:val="both"/>
      </w:pPr>
      <w:r>
        <w:rPr>
          <w:rFonts w:ascii="Times New Roman" w:cs="Times New Roman" w:eastAsia="Times New Roman" w:hAnsi="Times New Roman"/>
          <w:sz w:val="24"/>
          <w:szCs w:val="24"/>
        </w:rPr>
        <w:t xml:space="preserve">Two authors independently coded a stratified random 20% sample of valid responses, stratified by platform and category and drawn with a fixed seed, using the same coding manual as the language model and without seeing its codes. Agreement between the two authors was assessed with Cohen's kappa (Cohen, 1960), interpreted with conventional benchmarks (Landis &amp; Koch, 1977), and disagreements were resolved by discussion to form a consensus code. The language model's codes were then compared with that consensus. To check the coder's consistency, a random 10% of responses was coded a second time in a separate run, and agreement between the two runs is reported. Any variable with kappa below 0.60, short of substantial agreement on Landis and Koch's (1977) scale, was to be revised in the manual and re-coded. That floor is lenient by the standard of Lombard et al. (2002), who treat values of 0.80 or above as acceptable in most situations, so kappa is reported for every variable and lower values are discussed where they occur.</w:t>
      </w:r>
    </w:p>
    <w:p>
      <w:pPr>
        <w:pStyle w:val="Heading2"/>
        <w:keepNext/>
        <w:spacing w:after="100" w:before="240"/>
      </w:pPr>
      <w:r>
        <w:rPr>
          <w:rFonts w:ascii="Times New Roman" w:cs="Times New Roman" w:eastAsia="Times New Roman" w:hAnsi="Times New Roman"/>
          <w:b/>
          <w:bCs/>
          <w:color w:val="000000"/>
          <w:sz w:val="24"/>
          <w:szCs w:val="24"/>
        </w:rPr>
        <w:t xml:space="preserve">Ethical Considerations and Use of AI Tools</w:t>
      </w:r>
    </w:p>
    <w:p>
      <w:pPr>
        <w:spacing w:after="160" w:line="300"/>
        <w:jc w:val="both"/>
      </w:pPr>
      <w:r>
        <w:rPr>
          <w:rFonts w:ascii="Times New Roman" w:cs="Times New Roman" w:eastAsia="Times New Roman" w:hAnsi="Times New Roman"/>
          <w:sz w:val="24"/>
          <w:szCs w:val="24"/>
        </w:rPr>
        <w:t xml:space="preserve">The study involves no human participants and no personal data. All platforms were accessed through their official APIs and within their published terms; no consumer interface was automated and no marketplace was scraped. Brand names are reported because the analysis concerns public representations of brands, but the findings describe model outputs during a specified window and are not judgements of product quality. In line with the publisher's policy on generative AI, the authors disclose two uses. A large language model (Claude Opus 5.5, Anthropic) served as first-pass coder, with human validation as described above, and AI assistance was used in writing analysis code and in language editing. The authors take full responsibility for the content.</w:t>
      </w:r>
    </w:p>
    <w:p>
      <w:pPr>
        <w:pStyle w:val="Heading1"/>
        <w:keepNext/>
        <w:spacing w:after="140" w:before="360"/>
      </w:pPr>
      <w:r>
        <w:rPr>
          <w:rFonts w:ascii="Times New Roman" w:cs="Times New Roman" w:eastAsia="Times New Roman" w:hAnsi="Times New Roman"/>
          <w:b/>
          <w:bCs/>
          <w:color w:val="000000"/>
          <w:sz w:val="26"/>
          <w:szCs w:val="26"/>
        </w:rPr>
        <w:t xml:space="preserve">FINDINGS</w:t>
      </w:r>
    </w:p>
    <w:p>
      <w:pPr>
        <w:spacing w:after="160" w:line="300"/>
        <w:jc w:val="both"/>
      </w:pPr>
      <w:r>
        <w:rPr>
          <w:rFonts w:ascii="Times New Roman" w:cs="Times New Roman" w:eastAsia="Times New Roman" w:hAnsi="Times New Roman"/>
          <w:color w:val="7F6000"/>
          <w:sz w:val="24"/>
          <w:szCs w:val="24"/>
        </w:rPr>
        <w:t xml:space="preserve">[FINDINGS: written from outputs/tables after the audit and verification. Structure: Collection outcomes; Model Awareness and Prominence (RQ1); Model Image and Accuracy (RQ2); Sources Behind Recommendations (RQ3); Stability Across Runs and Platforms (RQ4); Comparison With Market Benchmarks.]</w:t>
      </w:r>
    </w:p>
    <w:p>
      <w:pPr>
        <w:pStyle w:val="Heading1"/>
        <w:keepNext/>
        <w:spacing w:after="140" w:before="360"/>
      </w:pPr>
      <w:r>
        <w:rPr>
          <w:rFonts w:ascii="Times New Roman" w:cs="Times New Roman" w:eastAsia="Times New Roman" w:hAnsi="Times New Roman"/>
          <w:b/>
          <w:bCs/>
          <w:color w:val="000000"/>
          <w:sz w:val="26"/>
          <w:szCs w:val="26"/>
        </w:rPr>
        <w:t xml:space="preserve">DISCUSSION</w:t>
      </w:r>
    </w:p>
    <w:p>
      <w:pPr>
        <w:spacing w:after="160" w:line="300"/>
        <w:jc w:val="both"/>
      </w:pPr>
      <w:r>
        <w:rPr>
          <w:rFonts w:ascii="Times New Roman" w:cs="Times New Roman" w:eastAsia="Times New Roman" w:hAnsi="Times New Roman"/>
          <w:color w:val="7F6000"/>
          <w:sz w:val="24"/>
          <w:szCs w:val="24"/>
        </w:rPr>
        <w:t xml:space="preserve">[DISCUSSION: written after findings.]</w:t>
      </w:r>
    </w:p>
    <w:p>
      <w:pPr>
        <w:pStyle w:val="Heading1"/>
        <w:keepNext/>
        <w:spacing w:after="140" w:before="360"/>
      </w:pPr>
      <w:r>
        <w:rPr>
          <w:rFonts w:ascii="Times New Roman" w:cs="Times New Roman" w:eastAsia="Times New Roman" w:hAnsi="Times New Roman"/>
          <w:b/>
          <w:bCs/>
          <w:color w:val="000000"/>
          <w:sz w:val="26"/>
          <w:szCs w:val="26"/>
        </w:rPr>
        <w:t xml:space="preserve">SOLUTIONS AND RECOMMENDATIONS</w:t>
      </w:r>
    </w:p>
    <w:p>
      <w:pPr>
        <w:spacing w:after="160" w:line="300"/>
        <w:jc w:val="both"/>
      </w:pPr>
      <w:r>
        <w:rPr>
          <w:rFonts w:ascii="Times New Roman" w:cs="Times New Roman" w:eastAsia="Times New Roman" w:hAnsi="Times New Roman"/>
          <w:color w:val="7F6000"/>
          <w:sz w:val="24"/>
          <w:szCs w:val="24"/>
        </w:rPr>
        <w:t xml:space="preserve">[RECOMMENDATIONS: revised after findings.]</w:t>
      </w:r>
    </w:p>
    <w:p>
      <w:pPr>
        <w:pStyle w:val="Heading1"/>
        <w:keepNext/>
        <w:spacing w:after="140" w:before="360"/>
      </w:pPr>
      <w:r>
        <w:rPr>
          <w:rFonts w:ascii="Times New Roman" w:cs="Times New Roman" w:eastAsia="Times New Roman" w:hAnsi="Times New Roman"/>
          <w:b/>
          <w:bCs/>
          <w:color w:val="000000"/>
          <w:sz w:val="26"/>
          <w:szCs w:val="26"/>
        </w:rPr>
        <w:t xml:space="preserve">GOVERNANCE AND MARKET STRUCTURE</w:t>
      </w:r>
    </w:p>
    <w:p>
      <w:pPr>
        <w:spacing w:after="160" w:line="300"/>
        <w:jc w:val="both"/>
      </w:pPr>
      <w:r>
        <w:rPr>
          <w:rFonts w:ascii="Times New Roman" w:cs="Times New Roman" w:eastAsia="Times New Roman" w:hAnsi="Times New Roman"/>
          <w:color w:val="7F6000"/>
          <w:sz w:val="24"/>
          <w:szCs w:val="24"/>
        </w:rPr>
        <w:t xml:space="preserve">[GOVERNANCE-FINDINGS: one or two sentences linking the findings to concentration.] If generative systems systematically favour brands with long histories and dense press coverage, they create a new barrier to entry at the very point where digital commerce was supposed to lower one. Wen et al. (2026) argue that generative engine optimisation concentrates influence in the hands of whoever can supply the evidence that models read, and that oversight should therefore look at answers rather than at individual web pages.</w:t>
      </w:r>
    </w:p>
    <w:p>
      <w:pPr>
        <w:spacing w:after="160" w:line="300"/>
        <w:jc w:val="both"/>
      </w:pPr>
      <w:r>
        <w:rPr>
          <w:rFonts w:ascii="Times New Roman" w:cs="Times New Roman" w:eastAsia="Times New Roman" w:hAnsi="Times New Roman"/>
          <w:sz w:val="24"/>
          <w:szCs w:val="24"/>
        </w:rPr>
        <w:t xml:space="preserve">Disclosure is the second concern. A shopper who receives a synthesised recommendation usually cannot tell which sources informed it, whether a commercial relationship shaped it, or how much it would change if the question were asked again. Advertising is now arriving inside these systems. In January 2026 OpenAI announced that it would test advertisements in the free and Go tiers of ChatGPT in the United States, labelled as sponsored and kept separate from answers, and stated that answers would not be influenced by advertisers (OpenAI, 2026). Whether that separation holds, and how anyone outside the company could check it, are open questions.</w:t>
      </w:r>
    </w:p>
    <w:p>
      <w:pPr>
        <w:spacing w:after="160" w:line="300"/>
        <w:jc w:val="both"/>
      </w:pPr>
      <w:r>
        <w:rPr>
          <w:rFonts w:ascii="Times New Roman" w:cs="Times New Roman" w:eastAsia="Times New Roman" w:hAnsi="Times New Roman"/>
          <w:sz w:val="24"/>
          <w:szCs w:val="24"/>
        </w:rPr>
        <w:t xml:space="preserve">Existing rules reach these issues only at their edges. In the European Union, the Digital Services Act requires online platforms to explain the main parameters of their recommender systems (European Parliament &amp; Council of the European Union, 2022). The Artificial Intelligence Act adds transparency duties for certain AI systems (European Parliament &amp; Council of the European Union, 2024). In India, the Central Consumer Protection Authority's 2023 guidelines list "disguised advertisement", advertising made to look like reviews, news or other content, among prohibited dark patterns (Central Consumer Protection Authority, 2023). Amendments to the Consumer Protection (E-Commerce) Rules, notified in September 2026 and in force from January 2027, require marketplaces to label sponsored listings clearly and to explain, in order of importance, the parameters that determine ranking. They also extend the idea of ranking to prominence given "irrespective of the technology used" (George et al., 2026). That wording may reach AI shopping assistants operated by marketplaces, but general-purpose assistants such as ChatGPT or Gemini are not marketplaces, and India's AI Governance Guidelines of November 2025 favour voluntary measures over new statutory duties (Ministry of Electronics and Information Technology, 2025). How any of these instruments applies to an assistant that names three serums in reply to a question is unsettled. Repeatable audits of the kind reported here could give regulators evidence they do not currently have: which brands are shown, on what evidence, and how consistently.</w:t>
      </w:r>
    </w:p>
    <w:p>
      <w:pPr>
        <w:pStyle w:val="Heading1"/>
        <w:keepNext/>
        <w:spacing w:after="140" w:before="360"/>
      </w:pPr>
      <w:r>
        <w:rPr>
          <w:rFonts w:ascii="Times New Roman" w:cs="Times New Roman" w:eastAsia="Times New Roman" w:hAnsi="Times New Roman"/>
          <w:b/>
          <w:bCs/>
          <w:color w:val="000000"/>
          <w:sz w:val="26"/>
          <w:szCs w:val="26"/>
        </w:rPr>
        <w:t xml:space="preserve">FUTURE RESEARCH DIRECTIONS</w:t>
      </w:r>
    </w:p>
    <w:p>
      <w:pPr>
        <w:spacing w:after="160" w:line="300"/>
        <w:jc w:val="both"/>
      </w:pPr>
      <w:r>
        <w:rPr>
          <w:rFonts w:ascii="Times New Roman" w:cs="Times New Roman" w:eastAsia="Times New Roman" w:hAnsi="Times New Roman"/>
          <w:color w:val="7F6000"/>
          <w:sz w:val="24"/>
          <w:szCs w:val="24"/>
        </w:rPr>
        <w:t xml:space="preserve">[FUTURE-FINDINGS: one sentence tying the agenda to the main finding.] Six directions follow from the framework and from the limits of this study.</w:t>
      </w:r>
    </w:p>
    <w:p>
      <w:pPr>
        <w:spacing w:after="160" w:line="300"/>
        <w:jc w:val="both"/>
      </w:pPr>
      <w:r>
        <w:rPr>
          <w:rFonts w:ascii="Times New Roman" w:cs="Times New Roman" w:eastAsia="Times New Roman" w:hAnsi="Times New Roman"/>
          <w:sz w:val="24"/>
          <w:szCs w:val="24"/>
        </w:rPr>
        <w:t xml:space="preserve">The first is the link between Generative Brand Equity and consumer response, which the framework proposes and the audit does not test. Experiments could show participants answers that vary a brand's presence, position and description while holding everything else constant, and measure consideration, attitude and choice. Field evidence that assistant recommendations change later search behaviour (Iannelli &amp; Ai, 2026) makes this link worth estimating carefully in Indian categories.</w:t>
      </w:r>
    </w:p>
    <w:p>
      <w:pPr>
        <w:spacing w:after="160" w:line="300"/>
        <w:jc w:val="both"/>
      </w:pPr>
      <w:r>
        <w:rPr>
          <w:rFonts w:ascii="Times New Roman" w:cs="Times New Roman" w:eastAsia="Times New Roman" w:hAnsi="Times New Roman"/>
          <w:sz w:val="24"/>
          <w:szCs w:val="24"/>
        </w:rPr>
        <w:t xml:space="preserve">The second is language. Indian shoppers search in Hindi, Hinglish, Tamil, Marathi and other languages, AI Overviews are offered in several of them, and query language can decide whether local brands appear at all (Żatuchin, 2026b). Repeating the audit across languages, with prompts translated and back-translated rather than machine-rendered, would show whether Indian D2C brands fare differently when the question is asked in an Indian language.</w:t>
      </w:r>
    </w:p>
    <w:p>
      <w:pPr>
        <w:spacing w:after="160" w:line="300"/>
        <w:jc w:val="both"/>
      </w:pPr>
      <w:r>
        <w:rPr>
          <w:rFonts w:ascii="Times New Roman" w:cs="Times New Roman" w:eastAsia="Times New Roman" w:hAnsi="Times New Roman"/>
          <w:sz w:val="24"/>
          <w:szCs w:val="24"/>
        </w:rPr>
        <w:t xml:space="preserve">The third is time. A single collection window shows a snapshot. Monthly or quarterly repetition with a frozen prompt set would show whether visibility advantages persist through model updates, and whether a brand's position changes after an event such as an acquisition, a product recall or a burst of press coverage.</w:t>
      </w:r>
    </w:p>
    <w:p>
      <w:pPr>
        <w:spacing w:after="160" w:line="300"/>
        <w:jc w:val="both"/>
      </w:pPr>
      <w:r>
        <w:rPr>
          <w:rFonts w:ascii="Times New Roman" w:cs="Times New Roman" w:eastAsia="Times New Roman" w:hAnsi="Times New Roman"/>
          <w:sz w:val="24"/>
          <w:szCs w:val="24"/>
        </w:rPr>
        <w:t xml:space="preserve">The fourth is intervention. The GEO evidence is strongest for content already retrieved into a model's context and weakest for effects on organic discoverability (Martinez, 2026). Field experiments in which brands publish new third-party content, such as independent reviews, expert explainers or corrected reference entries, and auditors measure the change in model outputs before and after, would test the mechanisms that this chapter can only describe.</w:t>
      </w:r>
    </w:p>
    <w:p>
      <w:pPr>
        <w:spacing w:after="160" w:line="300"/>
        <w:jc w:val="both"/>
      </w:pPr>
      <w:r>
        <w:rPr>
          <w:rFonts w:ascii="Times New Roman" w:cs="Times New Roman" w:eastAsia="Times New Roman" w:hAnsi="Times New Roman"/>
          <w:sz w:val="24"/>
          <w:szCs w:val="24"/>
        </w:rPr>
        <w:t xml:space="preserve">The fifth is the consumer interface. API-based audits trade realism for reproducibility. Data-donation designs, in which consenting shoppers share the answers they actually received on their phones, could measure how far personalisation, interface features and mobile layouts move the results reported here.</w:t>
      </w:r>
    </w:p>
    <w:p>
      <w:pPr>
        <w:spacing w:after="160" w:line="300"/>
        <w:jc w:val="both"/>
      </w:pPr>
      <w:r>
        <w:rPr>
          <w:rFonts w:ascii="Times New Roman" w:cs="Times New Roman" w:eastAsia="Times New Roman" w:hAnsi="Times New Roman"/>
          <w:sz w:val="24"/>
          <w:szCs w:val="24"/>
        </w:rPr>
        <w:t xml:space="preserve">The sixth is agentic commerce. Assistants are beginning to compare, add to cart and purchase on a shopper's behalf. When the model's choice replaces the consumer's, model awareness and prominence stop being antecedents of choice and become the choice itself. The measurement protocol in this chapter could be extended to agentic settings, and to the shopping assistants run by marketplaces, which fall more clearly under India's e-commerce rules.</w:t>
      </w:r>
    </w:p>
    <w:p>
      <w:pPr>
        <w:pStyle w:val="Heading1"/>
        <w:keepNext/>
        <w:spacing w:after="140" w:before="360"/>
      </w:pPr>
      <w:r>
        <w:rPr>
          <w:rFonts w:ascii="Times New Roman" w:cs="Times New Roman" w:eastAsia="Times New Roman" w:hAnsi="Times New Roman"/>
          <w:b/>
          <w:bCs/>
          <w:color w:val="000000"/>
          <w:sz w:val="26"/>
          <w:szCs w:val="26"/>
        </w:rPr>
        <w:t xml:space="preserve">LIMITATIONS</w:t>
      </w:r>
    </w:p>
    <w:p>
      <w:pPr>
        <w:spacing w:after="160" w:line="300"/>
        <w:jc w:val="both"/>
      </w:pPr>
      <w:r>
        <w:rPr>
          <w:rFonts w:ascii="Times New Roman" w:cs="Times New Roman" w:eastAsia="Times New Roman" w:hAnsi="Times New Roman"/>
          <w:color w:val="7F6000"/>
          <w:sz w:val="24"/>
          <w:szCs w:val="24"/>
        </w:rPr>
        <w:t xml:space="preserve">[LIMITATIONS-FINDINGS: add any limitation revealed by the data, such as the AI Overview trigger rate.] The study has limits that bear on how its findings should be read. It observes four systems through their APIs during one short window, and both the systems and the models behind them are updated often; the results describe model behaviour at that time and may not hold later. API outputs can differ from what consumers see in the apps (Marin et al., 2026), and the personalisation that consumer apps apply is absent here. The prompts are in English, although many Indian shoppers search in other languages and query language can change which brands appear (Żatuchin, 2026b). Two categories and twelve brands cannot represent the Indian D2C sector, so the brand-type comparisons describe this brand set and are not estimates for D2C brands in general. AI Overviews were captured on desktop through a third-party service, whereas most Indian searches take place on mobile. A language model performed the first pass of coding; its agreement with human coders is reported, but some coding error remains, and accuracy could be assessed only for claims that official sources could confirm or contradict. Marketplace ratings and review counts are imperfect proxies for market presence, and market shares of private D2C skincare brands are not public. Finally, the study measures what models say. It does not establish how consumers respond.</w:t>
      </w:r>
    </w:p>
    <w:p>
      <w:pPr>
        <w:pStyle w:val="Heading1"/>
        <w:keepNext/>
        <w:spacing w:after="140" w:before="360"/>
      </w:pPr>
      <w:r>
        <w:rPr>
          <w:rFonts w:ascii="Times New Roman" w:cs="Times New Roman" w:eastAsia="Times New Roman" w:hAnsi="Times New Roman"/>
          <w:b/>
          <w:bCs/>
          <w:color w:val="000000"/>
          <w:sz w:val="26"/>
          <w:szCs w:val="26"/>
        </w:rPr>
        <w:t xml:space="preserve">CONCLUSION</w:t>
      </w:r>
    </w:p>
    <w:p>
      <w:pPr>
        <w:spacing w:after="160" w:line="300"/>
        <w:jc w:val="both"/>
      </w:pPr>
      <w:r>
        <w:rPr>
          <w:rFonts w:ascii="Times New Roman" w:cs="Times New Roman" w:eastAsia="Times New Roman" w:hAnsi="Times New Roman"/>
          <w:color w:val="7F6000"/>
          <w:sz w:val="24"/>
          <w:szCs w:val="24"/>
        </w:rPr>
        <w:t xml:space="preserve">[CONCLUSION: written after findings.]</w:t>
      </w:r>
    </w:p>
    <w:p>
      <w:pPr>
        <w:pStyle w:val="Heading1"/>
        <w:keepNext/>
        <w:spacing w:after="140" w:before="360"/>
      </w:pPr>
      <w:r>
        <w:rPr>
          <w:rFonts w:ascii="Times New Roman" w:cs="Times New Roman" w:eastAsia="Times New Roman" w:hAnsi="Times New Roman"/>
          <w:b/>
          <w:bCs/>
          <w:color w:val="000000"/>
          <w:sz w:val="26"/>
          <w:szCs w:val="26"/>
        </w:rPr>
        <w:t xml:space="preserve">REFERENCES</w:t>
      </w:r>
    </w:p>
    <w:p>
      <w:pPr>
        <w:spacing w:after="100" w:line="264"/>
        <w:ind w:left="720" w:hanging="720"/>
      </w:pPr>
      <w:r>
        <w:rPr>
          <w:rFonts w:ascii="Times New Roman" w:cs="Times New Roman" w:eastAsia="Times New Roman" w:hAnsi="Times New Roman"/>
          <w:sz w:val="22"/>
          <w:szCs w:val="22"/>
        </w:rPr>
        <w:t xml:space="preserve">Aaker, D. A. (1991). </w:t>
      </w:r>
      <w:r>
        <w:rPr>
          <w:rFonts w:ascii="Times New Roman" w:cs="Times New Roman" w:eastAsia="Times New Roman" w:hAnsi="Times New Roman"/>
          <w:i/>
          <w:iCs/>
          <w:sz w:val="22"/>
          <w:szCs w:val="22"/>
        </w:rPr>
        <w:t xml:space="preserve">Managing brand equity: Capitalizing on the value of a brand name</w:t>
      </w:r>
      <w:r>
        <w:rPr>
          <w:rFonts w:ascii="Times New Roman" w:cs="Times New Roman" w:eastAsia="Times New Roman" w:hAnsi="Times New Roman"/>
          <w:sz w:val="22"/>
          <w:szCs w:val="22"/>
        </w:rPr>
        <w:t xml:space="preserve">. Free Press.</w:t>
      </w:r>
    </w:p>
    <w:p>
      <w:pPr>
        <w:spacing w:after="100" w:line="264"/>
        <w:ind w:left="720" w:hanging="720"/>
      </w:pPr>
      <w:r>
        <w:rPr>
          <w:rFonts w:ascii="Times New Roman" w:cs="Times New Roman" w:eastAsia="Times New Roman" w:hAnsi="Times New Roman"/>
          <w:sz w:val="22"/>
          <w:szCs w:val="22"/>
        </w:rPr>
        <w:t xml:space="preserve">Aggarwal, P., Murahari, V., Rajpurohit, T., Kalyan, A., Narasimhan, K., &amp; Deshpande, A. (2024). GEO: Generative engine optimization. In </w:t>
      </w:r>
      <w:r>
        <w:rPr>
          <w:rFonts w:ascii="Times New Roman" w:cs="Times New Roman" w:eastAsia="Times New Roman" w:hAnsi="Times New Roman"/>
          <w:i/>
          <w:iCs/>
          <w:sz w:val="22"/>
          <w:szCs w:val="22"/>
        </w:rPr>
        <w:t xml:space="preserve">Proceedings of the 30th ACM SIGKDD Conference on Knowledge Discovery and Data Mining</w:t>
      </w:r>
      <w:r>
        <w:rPr>
          <w:rFonts w:ascii="Times New Roman" w:cs="Times New Roman" w:eastAsia="Times New Roman" w:hAnsi="Times New Roman"/>
          <w:sz w:val="22"/>
          <w:szCs w:val="22"/>
        </w:rPr>
        <w:t xml:space="preserve"> (pp. 5–16). Association for Computing Machinery. https://doi.org/10.1145/3637528.3671900</w:t>
      </w:r>
    </w:p>
    <w:p>
      <w:pPr>
        <w:spacing w:after="100" w:line="264"/>
        <w:ind w:left="720" w:hanging="720"/>
      </w:pPr>
      <w:r>
        <w:rPr>
          <w:rFonts w:ascii="Times New Roman" w:cs="Times New Roman" w:eastAsia="Times New Roman" w:hAnsi="Times New Roman"/>
          <w:sz w:val="22"/>
          <w:szCs w:val="22"/>
        </w:rPr>
        <w:t xml:space="preserve">Atıl, B., Aykent, S., Chittams, A., Fu, L., Passonneau, R. J., Radcliffe, E., Rajagopal, G. R., Sloan, A., Tudrej, T., Ture, F., Wu, Z., Xu, L., &amp; Baldwin, B. (2025). Non-determinism of "deterministic" LLM system settings in hosted environments. In </w:t>
      </w:r>
      <w:r>
        <w:rPr>
          <w:rFonts w:ascii="Times New Roman" w:cs="Times New Roman" w:eastAsia="Times New Roman" w:hAnsi="Times New Roman"/>
          <w:i/>
          <w:iCs/>
          <w:sz w:val="22"/>
          <w:szCs w:val="22"/>
        </w:rPr>
        <w:t xml:space="preserve">Proceedings of the 5th Workshop on Evaluation and Comparison of NLP Systems</w:t>
      </w:r>
      <w:r>
        <w:rPr>
          <w:rFonts w:ascii="Times New Roman" w:cs="Times New Roman" w:eastAsia="Times New Roman" w:hAnsi="Times New Roman"/>
          <w:sz w:val="22"/>
          <w:szCs w:val="22"/>
        </w:rPr>
        <w:t xml:space="preserve"> (pp. 135–148). Association for Computational Linguistics. https://doi.org/10.18653/v1/2025.eval4nlp-1.12</w:t>
      </w:r>
    </w:p>
    <w:p>
      <w:pPr>
        <w:spacing w:after="100" w:line="264"/>
        <w:ind w:left="720" w:hanging="720"/>
      </w:pPr>
      <w:r>
        <w:rPr>
          <w:rFonts w:ascii="Times New Roman" w:cs="Times New Roman" w:eastAsia="Times New Roman" w:hAnsi="Times New Roman"/>
          <w:sz w:val="22"/>
          <w:szCs w:val="22"/>
        </w:rPr>
        <w:t xml:space="preserve">Baburajan, K. (2026, September 8). India wearables market falls 7.4% to 24.7 million units in Q2 2026 as premium smartwatches, AI earwear gain ground. </w:t>
      </w:r>
      <w:r>
        <w:rPr>
          <w:rFonts w:ascii="Times New Roman" w:cs="Times New Roman" w:eastAsia="Times New Roman" w:hAnsi="Times New Roman"/>
          <w:i/>
          <w:iCs/>
          <w:sz w:val="22"/>
          <w:szCs w:val="22"/>
        </w:rPr>
        <w:t xml:space="preserve">TelecomLead</w:t>
      </w:r>
      <w:r>
        <w:rPr>
          <w:rFonts w:ascii="Times New Roman" w:cs="Times New Roman" w:eastAsia="Times New Roman" w:hAnsi="Times New Roman"/>
          <w:sz w:val="22"/>
          <w:szCs w:val="22"/>
        </w:rPr>
        <w:t xml:space="preserve">. https://telecomlead.com/smart-phone/india-wearables-market-falls-7-4-to-24-7-million-units-in-q2-2026-as-premium-smartwatches-ai-earwear-gain-ground-127638</w:t>
      </w:r>
    </w:p>
    <w:p>
      <w:pPr>
        <w:spacing w:after="100" w:line="264"/>
        <w:ind w:left="720" w:hanging="720"/>
      </w:pPr>
      <w:r>
        <w:rPr>
          <w:rFonts w:ascii="Times New Roman" w:cs="Times New Roman" w:eastAsia="Times New Roman" w:hAnsi="Times New Roman"/>
          <w:sz w:val="22"/>
          <w:szCs w:val="22"/>
        </w:rPr>
        <w:t xml:space="preserve">Brynjolfsson, E., Hu, Y., &amp; Simester, D. (2011). Goodbye Pareto principle, hello long tail: The effect of search costs on the concentration of product sales. </w:t>
      </w:r>
      <w:r>
        <w:rPr>
          <w:rFonts w:ascii="Times New Roman" w:cs="Times New Roman" w:eastAsia="Times New Roman" w:hAnsi="Times New Roman"/>
          <w:i/>
          <w:iCs/>
          <w:sz w:val="22"/>
          <w:szCs w:val="22"/>
        </w:rPr>
        <w:t xml:space="preserve">Management Science, 57</w:t>
      </w:r>
      <w:r>
        <w:rPr>
          <w:rFonts w:ascii="Times New Roman" w:cs="Times New Roman" w:eastAsia="Times New Roman" w:hAnsi="Times New Roman"/>
          <w:sz w:val="22"/>
          <w:szCs w:val="22"/>
        </w:rPr>
        <w:t xml:space="preserve">(8), 1373–1386. https://doi.org/10.1287/mnsc.1110.1371</w:t>
      </w:r>
    </w:p>
    <w:p>
      <w:pPr>
        <w:spacing w:after="100" w:line="264"/>
        <w:ind w:left="720" w:hanging="720"/>
      </w:pPr>
      <w:r>
        <w:rPr>
          <w:rFonts w:ascii="Times New Roman" w:cs="Times New Roman" w:eastAsia="Times New Roman" w:hAnsi="Times New Roman"/>
          <w:sz w:val="22"/>
          <w:szCs w:val="22"/>
        </w:rPr>
        <w:t xml:space="preserve">Central Consumer Protection Authority. (2023). </w:t>
      </w:r>
      <w:r>
        <w:rPr>
          <w:rFonts w:ascii="Times New Roman" w:cs="Times New Roman" w:eastAsia="Times New Roman" w:hAnsi="Times New Roman"/>
          <w:i/>
          <w:iCs/>
          <w:sz w:val="22"/>
          <w:szCs w:val="22"/>
        </w:rPr>
        <w:t xml:space="preserve">Guidelines for prevention and regulation of dark patterns, 2023</w:t>
      </w:r>
      <w:r>
        <w:rPr>
          <w:rFonts w:ascii="Times New Roman" w:cs="Times New Roman" w:eastAsia="Times New Roman" w:hAnsi="Times New Roman"/>
          <w:sz w:val="22"/>
          <w:szCs w:val="22"/>
        </w:rPr>
        <w:t xml:space="preserve">. Government of India.</w:t>
      </w:r>
    </w:p>
    <w:p>
      <w:pPr>
        <w:spacing w:after="100" w:line="264"/>
        <w:ind w:left="720" w:hanging="720"/>
      </w:pPr>
      <w:r>
        <w:rPr>
          <w:rFonts w:ascii="Times New Roman" w:cs="Times New Roman" w:eastAsia="Times New Roman" w:hAnsi="Times New Roman"/>
          <w:sz w:val="22"/>
          <w:szCs w:val="22"/>
        </w:rPr>
        <w:t xml:space="preserve">Chapekis, A., &amp; Lieb, A. (2025, July 22). </w:t>
      </w:r>
      <w:r>
        <w:rPr>
          <w:rFonts w:ascii="Times New Roman" w:cs="Times New Roman" w:eastAsia="Times New Roman" w:hAnsi="Times New Roman"/>
          <w:i/>
          <w:iCs/>
          <w:sz w:val="22"/>
          <w:szCs w:val="22"/>
        </w:rPr>
        <w:t xml:space="preserve">Google users are less likely to click on links when an AI summary appears in the results</w:t>
      </w:r>
      <w:r>
        <w:rPr>
          <w:rFonts w:ascii="Times New Roman" w:cs="Times New Roman" w:eastAsia="Times New Roman" w:hAnsi="Times New Roman"/>
          <w:sz w:val="22"/>
          <w:szCs w:val="22"/>
        </w:rPr>
        <w:t xml:space="preserve">. Pew Research Center. https://www.pewresearch.org/short-reads/2025/07/22/google-users-are-less-likely-to-click-on-links-when-an-ai-summary-appears-in-the-results/</w:t>
      </w:r>
    </w:p>
    <w:p>
      <w:pPr>
        <w:spacing w:after="100" w:line="264"/>
        <w:ind w:left="720" w:hanging="720"/>
      </w:pPr>
      <w:r>
        <w:rPr>
          <w:rFonts w:ascii="Times New Roman" w:cs="Times New Roman" w:eastAsia="Times New Roman" w:hAnsi="Times New Roman"/>
          <w:sz w:val="22"/>
          <w:szCs w:val="22"/>
        </w:rPr>
        <w:t xml:space="preserve">Chen, M., Wang, X., Chen, K., &amp; Koudas, N. (2025). </w:t>
      </w:r>
      <w:r>
        <w:rPr>
          <w:rFonts w:ascii="Times New Roman" w:cs="Times New Roman" w:eastAsia="Times New Roman" w:hAnsi="Times New Roman"/>
          <w:i/>
          <w:iCs/>
          <w:sz w:val="22"/>
          <w:szCs w:val="22"/>
        </w:rPr>
        <w:t xml:space="preserve">Generative engine optimization: How to dominate AI search</w:t>
      </w:r>
      <w:r>
        <w:rPr>
          <w:rFonts w:ascii="Times New Roman" w:cs="Times New Roman" w:eastAsia="Times New Roman" w:hAnsi="Times New Roman"/>
          <w:sz w:val="22"/>
          <w:szCs w:val="22"/>
        </w:rPr>
        <w:t xml:space="preserve"> (arXiv:2509.08919). arXiv. https://doi.org/10.48550/arXiv.2509.08919</w:t>
      </w:r>
    </w:p>
    <w:p>
      <w:pPr>
        <w:spacing w:after="100" w:line="264"/>
        <w:ind w:left="720" w:hanging="720"/>
      </w:pPr>
      <w:r>
        <w:rPr>
          <w:rFonts w:ascii="Times New Roman" w:cs="Times New Roman" w:eastAsia="Times New Roman" w:hAnsi="Times New Roman"/>
          <w:sz w:val="22"/>
          <w:szCs w:val="22"/>
        </w:rPr>
        <w:t xml:space="preserve">Chevalier, J. A., &amp; Mayzlin, D. (2006). The effect of word of mouth on sales: Online book reviews. </w:t>
      </w:r>
      <w:r>
        <w:rPr>
          <w:rFonts w:ascii="Times New Roman" w:cs="Times New Roman" w:eastAsia="Times New Roman" w:hAnsi="Times New Roman"/>
          <w:i/>
          <w:iCs/>
          <w:sz w:val="22"/>
          <w:szCs w:val="22"/>
        </w:rPr>
        <w:t xml:space="preserve">Journal of Marketing Research, 43</w:t>
      </w:r>
      <w:r>
        <w:rPr>
          <w:rFonts w:ascii="Times New Roman" w:cs="Times New Roman" w:eastAsia="Times New Roman" w:hAnsi="Times New Roman"/>
          <w:sz w:val="22"/>
          <w:szCs w:val="22"/>
        </w:rPr>
        <w:t xml:space="preserve">(3), 345–354. https://doi.org/10.1509/jmkr.43.3.345</w:t>
      </w:r>
    </w:p>
    <w:p>
      <w:pPr>
        <w:spacing w:after="100" w:line="264"/>
        <w:ind w:left="720" w:hanging="720"/>
      </w:pPr>
      <w:r>
        <w:rPr>
          <w:rFonts w:ascii="Times New Roman" w:cs="Times New Roman" w:eastAsia="Times New Roman" w:hAnsi="Times New Roman"/>
          <w:sz w:val="22"/>
          <w:szCs w:val="22"/>
        </w:rPr>
        <w:t xml:space="preserve">Chu, X., &amp; Hou, Y. (2026). </w:t>
      </w:r>
      <w:r>
        <w:rPr>
          <w:rFonts w:ascii="Times New Roman" w:cs="Times New Roman" w:eastAsia="Times New Roman" w:hAnsi="Times New Roman"/>
          <w:i/>
          <w:iCs/>
          <w:sz w:val="22"/>
          <w:szCs w:val="22"/>
        </w:rPr>
        <w:t xml:space="preserve">Incumbent advantage: Brand bias and cognitive manipulation dynamics in LLM recommendation systems</w:t>
      </w:r>
      <w:r>
        <w:rPr>
          <w:rFonts w:ascii="Times New Roman" w:cs="Times New Roman" w:eastAsia="Times New Roman" w:hAnsi="Times New Roman"/>
          <w:sz w:val="22"/>
          <w:szCs w:val="22"/>
        </w:rPr>
        <w:t xml:space="preserve"> (arXiv:2606.17443). arXiv. https://doi.org/10.48550/arXiv.2606.17443</w:t>
      </w:r>
    </w:p>
    <w:p>
      <w:pPr>
        <w:spacing w:after="100" w:line="264"/>
        <w:ind w:left="720" w:hanging="720"/>
      </w:pPr>
      <w:r>
        <w:rPr>
          <w:rFonts w:ascii="Times New Roman" w:cs="Times New Roman" w:eastAsia="Times New Roman" w:hAnsi="Times New Roman"/>
          <w:sz w:val="22"/>
          <w:szCs w:val="22"/>
        </w:rPr>
        <w:t xml:space="preserve">Cohen, J. (1960). A coefficient of agreement for nominal scales. </w:t>
      </w:r>
      <w:r>
        <w:rPr>
          <w:rFonts w:ascii="Times New Roman" w:cs="Times New Roman" w:eastAsia="Times New Roman" w:hAnsi="Times New Roman"/>
          <w:i/>
          <w:iCs/>
          <w:sz w:val="22"/>
          <w:szCs w:val="22"/>
        </w:rPr>
        <w:t xml:space="preserve">Educational and Psychological Measurement, 20</w:t>
      </w:r>
      <w:r>
        <w:rPr>
          <w:rFonts w:ascii="Times New Roman" w:cs="Times New Roman" w:eastAsia="Times New Roman" w:hAnsi="Times New Roman"/>
          <w:sz w:val="22"/>
          <w:szCs w:val="22"/>
        </w:rPr>
        <w:t xml:space="preserve">(1), 37–46. https://doi.org/10.1177/001316446002000104</w:t>
      </w:r>
    </w:p>
    <w:p>
      <w:pPr>
        <w:spacing w:after="100" w:line="264"/>
        <w:ind w:left="720" w:hanging="720"/>
      </w:pPr>
      <w:r>
        <w:rPr>
          <w:rFonts w:ascii="Times New Roman" w:cs="Times New Roman" w:eastAsia="Times New Roman" w:hAnsi="Times New Roman"/>
          <w:sz w:val="22"/>
          <w:szCs w:val="22"/>
        </w:rPr>
        <w:t xml:space="preserve">Dellaert, B. G. C., Shu, S. B., Arentze, T. A., Baker, T., Diehl, K., Donkers, B., Fast, N. J., Häubl, G., Johnson, H., Karmarkar, U. R., Oppewal, H., Schmitt, B. H., Schroeder, J., Spiller, S. A., &amp; Steffel, M. (2020). Consumer decisions with artificially intelligent voice assistants. </w:t>
      </w:r>
      <w:r>
        <w:rPr>
          <w:rFonts w:ascii="Times New Roman" w:cs="Times New Roman" w:eastAsia="Times New Roman" w:hAnsi="Times New Roman"/>
          <w:i/>
          <w:iCs/>
          <w:sz w:val="22"/>
          <w:szCs w:val="22"/>
        </w:rPr>
        <w:t xml:space="preserve">Marketing Letters, 31</w:t>
      </w:r>
      <w:r>
        <w:rPr>
          <w:rFonts w:ascii="Times New Roman" w:cs="Times New Roman" w:eastAsia="Times New Roman" w:hAnsi="Times New Roman"/>
          <w:sz w:val="22"/>
          <w:szCs w:val="22"/>
        </w:rPr>
        <w:t xml:space="preserve">(4), 335–347. https://doi.org/10.1007/s11002-020-09537-5</w:t>
      </w:r>
    </w:p>
    <w:p>
      <w:pPr>
        <w:spacing w:after="100" w:line="264"/>
        <w:ind w:left="720" w:hanging="720"/>
      </w:pPr>
      <w:r>
        <w:rPr>
          <w:rFonts w:ascii="Times New Roman" w:cs="Times New Roman" w:eastAsia="Times New Roman" w:hAnsi="Times New Roman"/>
          <w:sz w:val="22"/>
          <w:szCs w:val="22"/>
        </w:rPr>
        <w:t xml:space="preserve">Dellarocas, C. (2003). The digitization of word of mouth: Promise and challenges of online feedback mechanisms. </w:t>
      </w:r>
      <w:r>
        <w:rPr>
          <w:rFonts w:ascii="Times New Roman" w:cs="Times New Roman" w:eastAsia="Times New Roman" w:hAnsi="Times New Roman"/>
          <w:i/>
          <w:iCs/>
          <w:sz w:val="22"/>
          <w:szCs w:val="22"/>
        </w:rPr>
        <w:t xml:space="preserve">Management Science, 49</w:t>
      </w:r>
      <w:r>
        <w:rPr>
          <w:rFonts w:ascii="Times New Roman" w:cs="Times New Roman" w:eastAsia="Times New Roman" w:hAnsi="Times New Roman"/>
          <w:sz w:val="22"/>
          <w:szCs w:val="22"/>
        </w:rPr>
        <w:t xml:space="preserve">(10), 1407–1424. https://doi.org/10.1287/mnsc.49.10.1407.17308</w:t>
      </w:r>
    </w:p>
    <w:p>
      <w:pPr>
        <w:spacing w:after="100" w:line="264"/>
        <w:ind w:left="720" w:hanging="720"/>
      </w:pPr>
      <w:r>
        <w:rPr>
          <w:rFonts w:ascii="Times New Roman" w:cs="Times New Roman" w:eastAsia="Times New Roman" w:hAnsi="Times New Roman"/>
          <w:sz w:val="22"/>
          <w:szCs w:val="22"/>
        </w:rPr>
        <w:t xml:space="preserve">Edelman, B., &amp; Lai, Z. (2016). Design of search engine services: Channel interdependence in search engine results. </w:t>
      </w:r>
      <w:r>
        <w:rPr>
          <w:rFonts w:ascii="Times New Roman" w:cs="Times New Roman" w:eastAsia="Times New Roman" w:hAnsi="Times New Roman"/>
          <w:i/>
          <w:iCs/>
          <w:sz w:val="22"/>
          <w:szCs w:val="22"/>
        </w:rPr>
        <w:t xml:space="preserve">Journal of Marketing Research, 53</w:t>
      </w:r>
      <w:r>
        <w:rPr>
          <w:rFonts w:ascii="Times New Roman" w:cs="Times New Roman" w:eastAsia="Times New Roman" w:hAnsi="Times New Roman"/>
          <w:sz w:val="22"/>
          <w:szCs w:val="22"/>
        </w:rPr>
        <w:t xml:space="preserve">(6), 881–900. https://doi.org/10.1509/jmr.14.0528</w:t>
      </w:r>
    </w:p>
    <w:p>
      <w:pPr>
        <w:spacing w:after="100" w:line="264"/>
        <w:ind w:left="720" w:hanging="720"/>
      </w:pPr>
      <w:r>
        <w:rPr>
          <w:rFonts w:ascii="Times New Roman" w:cs="Times New Roman" w:eastAsia="Times New Roman" w:hAnsi="Times New Roman"/>
          <w:sz w:val="22"/>
          <w:szCs w:val="22"/>
        </w:rPr>
        <w:t xml:space="preserve">Efron, B., &amp; Tibshirani, R. J. (1994). </w:t>
      </w:r>
      <w:r>
        <w:rPr>
          <w:rFonts w:ascii="Times New Roman" w:cs="Times New Roman" w:eastAsia="Times New Roman" w:hAnsi="Times New Roman"/>
          <w:i/>
          <w:iCs/>
          <w:sz w:val="22"/>
          <w:szCs w:val="22"/>
        </w:rPr>
        <w:t xml:space="preserve">An introduction to the bootstrap</w:t>
      </w:r>
      <w:r>
        <w:rPr>
          <w:rFonts w:ascii="Times New Roman" w:cs="Times New Roman" w:eastAsia="Times New Roman" w:hAnsi="Times New Roman"/>
          <w:sz w:val="22"/>
          <w:szCs w:val="22"/>
        </w:rPr>
        <w:t xml:space="preserve">. Chapman &amp; Hall/CRC. https://doi.org/10.1201/9780429246593</w:t>
      </w:r>
    </w:p>
    <w:p>
      <w:pPr>
        <w:spacing w:after="100" w:line="264"/>
        <w:ind w:left="720" w:hanging="720"/>
      </w:pPr>
      <w:r>
        <w:rPr>
          <w:rFonts w:ascii="Times New Roman" w:cs="Times New Roman" w:eastAsia="Times New Roman" w:hAnsi="Times New Roman"/>
          <w:sz w:val="22"/>
          <w:szCs w:val="22"/>
        </w:rPr>
        <w:t xml:space="preserve">Erdem, T., &amp; Swait, J. (1998). Brand equity as a signaling phenomenon. </w:t>
      </w:r>
      <w:r>
        <w:rPr>
          <w:rFonts w:ascii="Times New Roman" w:cs="Times New Roman" w:eastAsia="Times New Roman" w:hAnsi="Times New Roman"/>
          <w:i/>
          <w:iCs/>
          <w:sz w:val="22"/>
          <w:szCs w:val="22"/>
        </w:rPr>
        <w:t xml:space="preserve">Journal of Consumer Psychology, 7</w:t>
      </w:r>
      <w:r>
        <w:rPr>
          <w:rFonts w:ascii="Times New Roman" w:cs="Times New Roman" w:eastAsia="Times New Roman" w:hAnsi="Times New Roman"/>
          <w:sz w:val="22"/>
          <w:szCs w:val="22"/>
        </w:rPr>
        <w:t xml:space="preserve">(2), 131–157. https://doi.org/10.1207/s15327663jcp0702_02</w:t>
      </w:r>
    </w:p>
    <w:p>
      <w:pPr>
        <w:spacing w:after="100" w:line="264"/>
        <w:ind w:left="720" w:hanging="720"/>
      </w:pPr>
      <w:r>
        <w:rPr>
          <w:rFonts w:ascii="Times New Roman" w:cs="Times New Roman" w:eastAsia="Times New Roman" w:hAnsi="Times New Roman"/>
          <w:sz w:val="22"/>
          <w:szCs w:val="22"/>
        </w:rPr>
        <w:t xml:space="preserve">Erdem, T., &amp; Swait, J. (2004). Brand credibility, brand consideration, and choice. </w:t>
      </w:r>
      <w:r>
        <w:rPr>
          <w:rFonts w:ascii="Times New Roman" w:cs="Times New Roman" w:eastAsia="Times New Roman" w:hAnsi="Times New Roman"/>
          <w:i/>
          <w:iCs/>
          <w:sz w:val="22"/>
          <w:szCs w:val="22"/>
        </w:rPr>
        <w:t xml:space="preserve">Journal of Consumer Research, 31</w:t>
      </w:r>
      <w:r>
        <w:rPr>
          <w:rFonts w:ascii="Times New Roman" w:cs="Times New Roman" w:eastAsia="Times New Roman" w:hAnsi="Times New Roman"/>
          <w:sz w:val="22"/>
          <w:szCs w:val="22"/>
        </w:rPr>
        <w:t xml:space="preserve">(1), 191–198. https://doi.org/10.1086/383434</w:t>
      </w:r>
    </w:p>
    <w:p>
      <w:pPr>
        <w:spacing w:after="100" w:line="264"/>
        <w:ind w:left="720" w:hanging="720"/>
      </w:pPr>
      <w:r>
        <w:rPr>
          <w:rFonts w:ascii="Times New Roman" w:cs="Times New Roman" w:eastAsia="Times New Roman" w:hAnsi="Times New Roman"/>
          <w:sz w:val="22"/>
          <w:szCs w:val="22"/>
        </w:rPr>
        <w:t xml:space="preserve">European Parliament &amp; Council of the European Union. (2022). Regulation (EU) 2022/2065 of 19 October 2022 on a Single Market for Digital Services and amending Directive 2000/31/EC (Digital Services Act). </w:t>
      </w:r>
      <w:r>
        <w:rPr>
          <w:rFonts w:ascii="Times New Roman" w:cs="Times New Roman" w:eastAsia="Times New Roman" w:hAnsi="Times New Roman"/>
          <w:i/>
          <w:iCs/>
          <w:sz w:val="22"/>
          <w:szCs w:val="22"/>
        </w:rPr>
        <w:t xml:space="preserve">Official Journal of the European Union</w:t>
      </w:r>
      <w:r>
        <w:rPr>
          <w:rFonts w:ascii="Times New Roman" w:cs="Times New Roman" w:eastAsia="Times New Roman" w:hAnsi="Times New Roman"/>
          <w:sz w:val="22"/>
          <w:szCs w:val="22"/>
        </w:rPr>
        <w:t xml:space="preserve">, L 277, 1–102. http://data.europa.eu/eli/reg/2022/2065/oj</w:t>
      </w:r>
    </w:p>
    <w:p>
      <w:pPr>
        <w:spacing w:after="100" w:line="264"/>
        <w:ind w:left="720" w:hanging="720"/>
      </w:pPr>
      <w:r>
        <w:rPr>
          <w:rFonts w:ascii="Times New Roman" w:cs="Times New Roman" w:eastAsia="Times New Roman" w:hAnsi="Times New Roman"/>
          <w:sz w:val="22"/>
          <w:szCs w:val="22"/>
        </w:rPr>
        <w:t xml:space="preserve">European Parliament &amp; Council of the European Union. (2024). Regulation (EU) 2024/1689 of 13 June 2024 laying down harmonised rules on artificial intelligence (Artificial Intelligence Act). </w:t>
      </w:r>
      <w:r>
        <w:rPr>
          <w:rFonts w:ascii="Times New Roman" w:cs="Times New Roman" w:eastAsia="Times New Roman" w:hAnsi="Times New Roman"/>
          <w:i/>
          <w:iCs/>
          <w:sz w:val="22"/>
          <w:szCs w:val="22"/>
        </w:rPr>
        <w:t xml:space="preserve">Official Journal of the European Union</w:t>
      </w:r>
      <w:r>
        <w:rPr>
          <w:rFonts w:ascii="Times New Roman" w:cs="Times New Roman" w:eastAsia="Times New Roman" w:hAnsi="Times New Roman"/>
          <w:sz w:val="22"/>
          <w:szCs w:val="22"/>
        </w:rPr>
        <w:t xml:space="preserve">, L, 2024/1689. http://data.europa.eu/eli/reg/2024/1689/oj</w:t>
      </w:r>
    </w:p>
    <w:p>
      <w:pPr>
        <w:spacing w:after="100" w:line="264"/>
        <w:ind w:left="720" w:hanging="720"/>
      </w:pPr>
      <w:r>
        <w:rPr>
          <w:rFonts w:ascii="Times New Roman" w:cs="Times New Roman" w:eastAsia="Times New Roman" w:hAnsi="Times New Roman"/>
          <w:sz w:val="22"/>
          <w:szCs w:val="22"/>
        </w:rPr>
        <w:t xml:space="preserve">Field, C. A., &amp; Welsh, A. H. (2007). Bootstrapping clustered data. </w:t>
      </w:r>
      <w:r>
        <w:rPr>
          <w:rFonts w:ascii="Times New Roman" w:cs="Times New Roman" w:eastAsia="Times New Roman" w:hAnsi="Times New Roman"/>
          <w:i/>
          <w:iCs/>
          <w:sz w:val="22"/>
          <w:szCs w:val="22"/>
        </w:rPr>
        <w:t xml:space="preserve">Journal of the Royal Statistical Society: Series B (Statistical Methodology), 69</w:t>
      </w:r>
      <w:r>
        <w:rPr>
          <w:rFonts w:ascii="Times New Roman" w:cs="Times New Roman" w:eastAsia="Times New Roman" w:hAnsi="Times New Roman"/>
          <w:sz w:val="22"/>
          <w:szCs w:val="22"/>
        </w:rPr>
        <w:t xml:space="preserve">(3), 369–390. https://doi.org/10.1111/j.1467-9868.2007.00593.x</w:t>
      </w:r>
    </w:p>
    <w:p>
      <w:pPr>
        <w:spacing w:after="100" w:line="264"/>
        <w:ind w:left="720" w:hanging="720"/>
      </w:pPr>
      <w:r>
        <w:rPr>
          <w:rFonts w:ascii="Times New Roman" w:cs="Times New Roman" w:eastAsia="Times New Roman" w:hAnsi="Times New Roman"/>
          <w:sz w:val="22"/>
          <w:szCs w:val="22"/>
        </w:rPr>
        <w:t xml:space="preserve">Fleder, D., &amp; Hosanagar, K. (2009). Blockbuster culture's next rise or fall: The impact of recommender systems on sales diversity. </w:t>
      </w:r>
      <w:r>
        <w:rPr>
          <w:rFonts w:ascii="Times New Roman" w:cs="Times New Roman" w:eastAsia="Times New Roman" w:hAnsi="Times New Roman"/>
          <w:i/>
          <w:iCs/>
          <w:sz w:val="22"/>
          <w:szCs w:val="22"/>
        </w:rPr>
        <w:t xml:space="preserve">Management Science, 55</w:t>
      </w:r>
      <w:r>
        <w:rPr>
          <w:rFonts w:ascii="Times New Roman" w:cs="Times New Roman" w:eastAsia="Times New Roman" w:hAnsi="Times New Roman"/>
          <w:sz w:val="22"/>
          <w:szCs w:val="22"/>
        </w:rPr>
        <w:t xml:space="preserve">(5), 697–712. https://doi.org/10.1287/mnsc.1080.0974</w:t>
      </w:r>
    </w:p>
    <w:p>
      <w:pPr>
        <w:spacing w:after="100" w:line="264"/>
        <w:ind w:left="720" w:hanging="720"/>
      </w:pPr>
      <w:r>
        <w:rPr>
          <w:rFonts w:ascii="Times New Roman" w:cs="Times New Roman" w:eastAsia="Times New Roman" w:hAnsi="Times New Roman"/>
          <w:sz w:val="22"/>
          <w:szCs w:val="22"/>
        </w:rPr>
        <w:t xml:space="preserve">George, S., Sudersan, H., &amp; Lateefi, B. (2026, September 28). Consumer Protection (E-Commerce) (Amendment) Rules 2026: From consumer disclosure to platform governance. </w:t>
      </w:r>
      <w:r>
        <w:rPr>
          <w:rFonts w:ascii="Times New Roman" w:cs="Times New Roman" w:eastAsia="Times New Roman" w:hAnsi="Times New Roman"/>
          <w:i/>
          <w:iCs/>
          <w:sz w:val="22"/>
          <w:szCs w:val="22"/>
        </w:rPr>
        <w:t xml:space="preserve">Bar &amp; Bench</w:t>
      </w:r>
      <w:r>
        <w:rPr>
          <w:rFonts w:ascii="Times New Roman" w:cs="Times New Roman" w:eastAsia="Times New Roman" w:hAnsi="Times New Roman"/>
          <w:sz w:val="22"/>
          <w:szCs w:val="22"/>
        </w:rPr>
        <w:t xml:space="preserve">. https://www.barandbench.com/law-firms/view-point/consumer-protection-e-commerce-amendment-rules-2026-from-consumer-disclosure-to-platform-governance</w:t>
      </w:r>
    </w:p>
    <w:p>
      <w:pPr>
        <w:spacing w:after="100" w:line="264"/>
        <w:ind w:left="720" w:hanging="720"/>
      </w:pPr>
      <w:r>
        <w:rPr>
          <w:rFonts w:ascii="Times New Roman" w:cs="Times New Roman" w:eastAsia="Times New Roman" w:hAnsi="Times New Roman"/>
          <w:sz w:val="22"/>
          <w:szCs w:val="22"/>
        </w:rPr>
        <w:t xml:space="preserve">Gilardi, F., Alizadeh, M., &amp; Kubli, M. (2023). ChatGPT outperforms crowd workers for text-annotation tasks. </w:t>
      </w:r>
      <w:r>
        <w:rPr>
          <w:rFonts w:ascii="Times New Roman" w:cs="Times New Roman" w:eastAsia="Times New Roman" w:hAnsi="Times New Roman"/>
          <w:i/>
          <w:iCs/>
          <w:sz w:val="22"/>
          <w:szCs w:val="22"/>
        </w:rPr>
        <w:t xml:space="preserve">Proceedings of the National Academy of Sciences, 120</w:t>
      </w:r>
      <w:r>
        <w:rPr>
          <w:rFonts w:ascii="Times New Roman" w:cs="Times New Roman" w:eastAsia="Times New Roman" w:hAnsi="Times New Roman"/>
          <w:sz w:val="22"/>
          <w:szCs w:val="22"/>
        </w:rPr>
        <w:t xml:space="preserve">(30), Article e2305016120. https://doi.org/10.1073/pnas.2305016120</w:t>
      </w:r>
    </w:p>
    <w:p>
      <w:pPr>
        <w:spacing w:after="100" w:line="264"/>
        <w:ind w:left="720" w:hanging="720"/>
      </w:pPr>
      <w:r>
        <w:rPr>
          <w:rFonts w:ascii="Times New Roman" w:cs="Times New Roman" w:eastAsia="Times New Roman" w:hAnsi="Times New Roman"/>
          <w:sz w:val="22"/>
          <w:szCs w:val="22"/>
        </w:rPr>
        <w:t xml:space="preserve">Grewal, D., Satornino, C. B., Davenport, T., &amp; Guha, A. (2025). How generative AI is shaping the future of marketing. </w:t>
      </w:r>
      <w:r>
        <w:rPr>
          <w:rFonts w:ascii="Times New Roman" w:cs="Times New Roman" w:eastAsia="Times New Roman" w:hAnsi="Times New Roman"/>
          <w:i/>
          <w:iCs/>
          <w:sz w:val="22"/>
          <w:szCs w:val="22"/>
        </w:rPr>
        <w:t xml:space="preserve">Journal of the Academy of Marketing Science, 53</w:t>
      </w:r>
      <w:r>
        <w:rPr>
          <w:rFonts w:ascii="Times New Roman" w:cs="Times New Roman" w:eastAsia="Times New Roman" w:hAnsi="Times New Roman"/>
          <w:sz w:val="22"/>
          <w:szCs w:val="22"/>
        </w:rPr>
        <w:t xml:space="preserve">(3), 702–722. https://doi.org/10.1007/s11747-024-01064-3</w:t>
      </w:r>
    </w:p>
    <w:p>
      <w:pPr>
        <w:spacing w:after="100" w:line="264"/>
        <w:ind w:left="720" w:hanging="720"/>
      </w:pPr>
      <w:r>
        <w:rPr>
          <w:rFonts w:ascii="Times New Roman" w:cs="Times New Roman" w:eastAsia="Times New Roman" w:hAnsi="Times New Roman"/>
          <w:sz w:val="22"/>
          <w:szCs w:val="22"/>
        </w:rPr>
        <w:t xml:space="preserve">Hartmann, J., Exner, Y., &amp; Domdey, S. (2025). The power of generative marketing: Can generative AI create superhuman visual marketing content? </w:t>
      </w:r>
      <w:r>
        <w:rPr>
          <w:rFonts w:ascii="Times New Roman" w:cs="Times New Roman" w:eastAsia="Times New Roman" w:hAnsi="Times New Roman"/>
          <w:i/>
          <w:iCs/>
          <w:sz w:val="22"/>
          <w:szCs w:val="22"/>
        </w:rPr>
        <w:t xml:space="preserve">International Journal of Research in Marketing, 42</w:t>
      </w:r>
      <w:r>
        <w:rPr>
          <w:rFonts w:ascii="Times New Roman" w:cs="Times New Roman" w:eastAsia="Times New Roman" w:hAnsi="Times New Roman"/>
          <w:sz w:val="22"/>
          <w:szCs w:val="22"/>
        </w:rPr>
        <w:t xml:space="preserve">(1), 13–31. https://doi.org/10.1016/j.ijresmar.2024.09.002</w:t>
      </w:r>
    </w:p>
    <w:p>
      <w:pPr>
        <w:spacing w:after="100" w:line="264"/>
        <w:ind w:left="720" w:hanging="720"/>
      </w:pPr>
      <w:r>
        <w:rPr>
          <w:rFonts w:ascii="Times New Roman" w:cs="Times New Roman" w:eastAsia="Times New Roman" w:hAnsi="Times New Roman"/>
          <w:sz w:val="22"/>
          <w:szCs w:val="22"/>
        </w:rPr>
        <w:t xml:space="preserve">Häubl, G., &amp; Trifts, V. (2000). Consumer decision making in online shopping environments: The effects of interactive decision aids. </w:t>
      </w:r>
      <w:r>
        <w:rPr>
          <w:rFonts w:ascii="Times New Roman" w:cs="Times New Roman" w:eastAsia="Times New Roman" w:hAnsi="Times New Roman"/>
          <w:i/>
          <w:iCs/>
          <w:sz w:val="22"/>
          <w:szCs w:val="22"/>
        </w:rPr>
        <w:t xml:space="preserve">Marketing Science, 19</w:t>
      </w:r>
      <w:r>
        <w:rPr>
          <w:rFonts w:ascii="Times New Roman" w:cs="Times New Roman" w:eastAsia="Times New Roman" w:hAnsi="Times New Roman"/>
          <w:sz w:val="22"/>
          <w:szCs w:val="22"/>
        </w:rPr>
        <w:t xml:space="preserve">(1), 4–21. https://doi.org/10.1287/mksc.19.1.4.15178</w:t>
      </w:r>
    </w:p>
    <w:p>
      <w:pPr>
        <w:spacing w:after="100" w:line="264"/>
        <w:ind w:left="720" w:hanging="720"/>
      </w:pPr>
      <w:r>
        <w:rPr>
          <w:rFonts w:ascii="Times New Roman" w:cs="Times New Roman" w:eastAsia="Times New Roman" w:hAnsi="Times New Roman"/>
          <w:sz w:val="22"/>
          <w:szCs w:val="22"/>
        </w:rPr>
        <w:t xml:space="preserve">Hermann, E., &amp; Puntoni, S. (2025). Generative AI in marketing and principles for ethical design and deployment. </w:t>
      </w:r>
      <w:r>
        <w:rPr>
          <w:rFonts w:ascii="Times New Roman" w:cs="Times New Roman" w:eastAsia="Times New Roman" w:hAnsi="Times New Roman"/>
          <w:i/>
          <w:iCs/>
          <w:sz w:val="22"/>
          <w:szCs w:val="22"/>
        </w:rPr>
        <w:t xml:space="preserve">Journal of Public Policy &amp; Marketing, 44</w:t>
      </w:r>
      <w:r>
        <w:rPr>
          <w:rFonts w:ascii="Times New Roman" w:cs="Times New Roman" w:eastAsia="Times New Roman" w:hAnsi="Times New Roman"/>
          <w:sz w:val="22"/>
          <w:szCs w:val="22"/>
        </w:rPr>
        <w:t xml:space="preserve">(3), 332–349. https://doi.org/10.1177/07439156241309874</w:t>
      </w:r>
    </w:p>
    <w:p>
      <w:pPr>
        <w:spacing w:after="100" w:line="264"/>
        <w:ind w:left="720" w:hanging="720"/>
      </w:pPr>
      <w:r>
        <w:rPr>
          <w:rFonts w:ascii="Times New Roman" w:cs="Times New Roman" w:eastAsia="Times New Roman" w:hAnsi="Times New Roman"/>
          <w:sz w:val="22"/>
          <w:szCs w:val="22"/>
        </w:rPr>
        <w:t xml:space="preserve">Hovland, C. I., &amp; Weiss, W. (1951). The influence of source credibility on communication effectiveness. </w:t>
      </w:r>
      <w:r>
        <w:rPr>
          <w:rFonts w:ascii="Times New Roman" w:cs="Times New Roman" w:eastAsia="Times New Roman" w:hAnsi="Times New Roman"/>
          <w:i/>
          <w:iCs/>
          <w:sz w:val="22"/>
          <w:szCs w:val="22"/>
        </w:rPr>
        <w:t xml:space="preserve">Public Opinion Quarterly, 15</w:t>
      </w:r>
      <w:r>
        <w:rPr>
          <w:rFonts w:ascii="Times New Roman" w:cs="Times New Roman" w:eastAsia="Times New Roman" w:hAnsi="Times New Roman"/>
          <w:sz w:val="22"/>
          <w:szCs w:val="22"/>
        </w:rPr>
        <w:t xml:space="preserve">(4), 635–650. https://doi.org/10.1086/266350</w:t>
      </w:r>
    </w:p>
    <w:p>
      <w:pPr>
        <w:spacing w:after="100" w:line="264"/>
        <w:ind w:left="720" w:hanging="720"/>
      </w:pPr>
      <w:r>
        <w:rPr>
          <w:rFonts w:ascii="Times New Roman" w:cs="Times New Roman" w:eastAsia="Times New Roman" w:hAnsi="Times New Roman"/>
          <w:sz w:val="22"/>
          <w:szCs w:val="22"/>
        </w:rPr>
        <w:t xml:space="preserve">Iannelli, M., &amp; Ai, A. (2026). </w:t>
      </w:r>
      <w:r>
        <w:rPr>
          <w:rFonts w:ascii="Times New Roman" w:cs="Times New Roman" w:eastAsia="Times New Roman" w:hAnsi="Times New Roman"/>
          <w:i/>
          <w:iCs/>
          <w:sz w:val="22"/>
          <w:szCs w:val="22"/>
        </w:rPr>
        <w:t xml:space="preserve">From prompt to purchase: How AI brand recommendations move consumers on the open web</w:t>
      </w:r>
      <w:r>
        <w:rPr>
          <w:rFonts w:ascii="Times New Roman" w:cs="Times New Roman" w:eastAsia="Times New Roman" w:hAnsi="Times New Roman"/>
          <w:sz w:val="22"/>
          <w:szCs w:val="22"/>
        </w:rPr>
        <w:t xml:space="preserve"> (arXiv:2606.10907). arXiv. https://doi.org/10.48550/arXiv.2606.10907</w:t>
      </w:r>
    </w:p>
    <w:p>
      <w:pPr>
        <w:spacing w:after="100" w:line="264"/>
        <w:ind w:left="720" w:hanging="720"/>
      </w:pPr>
      <w:r>
        <w:rPr>
          <w:rFonts w:ascii="Times New Roman" w:cs="Times New Roman" w:eastAsia="Times New Roman" w:hAnsi="Times New Roman"/>
          <w:sz w:val="22"/>
          <w:szCs w:val="22"/>
        </w:rPr>
        <w:t xml:space="preserve">Introna, L. D., &amp; Nissenbaum, H. (2000). Shaping the web: Why the politics of search engines matters. </w:t>
      </w:r>
      <w:r>
        <w:rPr>
          <w:rFonts w:ascii="Times New Roman" w:cs="Times New Roman" w:eastAsia="Times New Roman" w:hAnsi="Times New Roman"/>
          <w:i/>
          <w:iCs/>
          <w:sz w:val="22"/>
          <w:szCs w:val="22"/>
        </w:rPr>
        <w:t xml:space="preserve">The Information Society, 16</w:t>
      </w:r>
      <w:r>
        <w:rPr>
          <w:rFonts w:ascii="Times New Roman" w:cs="Times New Roman" w:eastAsia="Times New Roman" w:hAnsi="Times New Roman"/>
          <w:sz w:val="22"/>
          <w:szCs w:val="22"/>
        </w:rPr>
        <w:t xml:space="preserve">(3), 169–185. https://doi.org/10.1080/01972240050133634</w:t>
      </w:r>
    </w:p>
    <w:p>
      <w:pPr>
        <w:spacing w:after="100" w:line="264"/>
        <w:ind w:left="720" w:hanging="720"/>
      </w:pPr>
      <w:r>
        <w:rPr>
          <w:rFonts w:ascii="Times New Roman" w:cs="Times New Roman" w:eastAsia="Times New Roman" w:hAnsi="Times New Roman"/>
          <w:sz w:val="22"/>
          <w:szCs w:val="22"/>
        </w:rPr>
        <w:t xml:space="preserve">Jaccard, P. (1912). The distribution of the flora in the alpine zone. </w:t>
      </w:r>
      <w:r>
        <w:rPr>
          <w:rFonts w:ascii="Times New Roman" w:cs="Times New Roman" w:eastAsia="Times New Roman" w:hAnsi="Times New Roman"/>
          <w:i/>
          <w:iCs/>
          <w:sz w:val="22"/>
          <w:szCs w:val="22"/>
        </w:rPr>
        <w:t xml:space="preserve">New Phytologist, 11</w:t>
      </w:r>
      <w:r>
        <w:rPr>
          <w:rFonts w:ascii="Times New Roman" w:cs="Times New Roman" w:eastAsia="Times New Roman" w:hAnsi="Times New Roman"/>
          <w:sz w:val="22"/>
          <w:szCs w:val="22"/>
        </w:rPr>
        <w:t xml:space="preserve">(2), 37–50. https://doi.org/10.1111/j.1469-8137.1912.tb05611.x</w:t>
      </w:r>
    </w:p>
    <w:p>
      <w:pPr>
        <w:spacing w:after="100" w:line="264"/>
        <w:ind w:left="720" w:hanging="720"/>
      </w:pPr>
      <w:r>
        <w:rPr>
          <w:rFonts w:ascii="Times New Roman" w:cs="Times New Roman" w:eastAsia="Times New Roman" w:hAnsi="Times New Roman"/>
          <w:sz w:val="22"/>
          <w:szCs w:val="22"/>
        </w:rPr>
        <w:t xml:space="preserve">Jack, W., Lehman, N., Maloney, K., &amp; Xu, S. (2026). </w:t>
      </w:r>
      <w:r>
        <w:rPr>
          <w:rFonts w:ascii="Times New Roman" w:cs="Times New Roman" w:eastAsia="Times New Roman" w:hAnsi="Times New Roman"/>
          <w:i/>
          <w:iCs/>
          <w:sz w:val="22"/>
          <w:szCs w:val="22"/>
        </w:rPr>
        <w:t xml:space="preserve">Prominence-stratified failure modes in retrieval-augmented commercial recommendation: A 37,000-run audit</w:t>
      </w:r>
      <w:r>
        <w:rPr>
          <w:rFonts w:ascii="Times New Roman" w:cs="Times New Roman" w:eastAsia="Times New Roman" w:hAnsi="Times New Roman"/>
          <w:sz w:val="22"/>
          <w:szCs w:val="22"/>
        </w:rPr>
        <w:t xml:space="preserve"> (arXiv:2605.27439). arXiv. https://doi.org/10.48550/arXiv.2605.27439</w:t>
      </w:r>
    </w:p>
    <w:p>
      <w:pPr>
        <w:spacing w:after="100" w:line="264"/>
        <w:ind w:left="720" w:hanging="720"/>
      </w:pPr>
      <w:r>
        <w:rPr>
          <w:rFonts w:ascii="Times New Roman" w:cs="Times New Roman" w:eastAsia="Times New Roman" w:hAnsi="Times New Roman"/>
          <w:sz w:val="22"/>
          <w:szCs w:val="22"/>
        </w:rPr>
        <w:t xml:space="preserve">Ji, Z., Lee, N., Frieske, R., Yu, T., Su, D., Xu, Y., Ishii, E., Bang, Y. J., Madotto, A., &amp; Fung, P. (2023). Survey of hallucination in natural language generation. </w:t>
      </w:r>
      <w:r>
        <w:rPr>
          <w:rFonts w:ascii="Times New Roman" w:cs="Times New Roman" w:eastAsia="Times New Roman" w:hAnsi="Times New Roman"/>
          <w:i/>
          <w:iCs/>
          <w:sz w:val="22"/>
          <w:szCs w:val="22"/>
        </w:rPr>
        <w:t xml:space="preserve">ACM Computing Surveys, 55</w:t>
      </w:r>
      <w:r>
        <w:rPr>
          <w:rFonts w:ascii="Times New Roman" w:cs="Times New Roman" w:eastAsia="Times New Roman" w:hAnsi="Times New Roman"/>
          <w:sz w:val="22"/>
          <w:szCs w:val="22"/>
        </w:rPr>
        <w:t xml:space="preserve">(12), Article 248. https://doi.org/10.1145/3571730</w:t>
      </w:r>
    </w:p>
    <w:p>
      <w:pPr>
        <w:spacing w:after="100" w:line="264"/>
        <w:ind w:left="720" w:hanging="720"/>
      </w:pPr>
      <w:r>
        <w:rPr>
          <w:rFonts w:ascii="Times New Roman" w:cs="Times New Roman" w:eastAsia="Times New Roman" w:hAnsi="Times New Roman"/>
          <w:sz w:val="22"/>
          <w:szCs w:val="22"/>
        </w:rPr>
        <w:t xml:space="preserve">Kamruzzaman, M., Nguyen, H. M., &amp; Kim, G. L. (2024). "Global is good, local is bad?": Understanding brand bias in LLMs. In </w:t>
      </w:r>
      <w:r>
        <w:rPr>
          <w:rFonts w:ascii="Times New Roman" w:cs="Times New Roman" w:eastAsia="Times New Roman" w:hAnsi="Times New Roman"/>
          <w:i/>
          <w:iCs/>
          <w:sz w:val="22"/>
          <w:szCs w:val="22"/>
        </w:rPr>
        <w:t xml:space="preserve">Proceedings of the 2024 Conference on Empirical Methods in Natural Language Processing</w:t>
      </w:r>
      <w:r>
        <w:rPr>
          <w:rFonts w:ascii="Times New Roman" w:cs="Times New Roman" w:eastAsia="Times New Roman" w:hAnsi="Times New Roman"/>
          <w:sz w:val="22"/>
          <w:szCs w:val="22"/>
        </w:rPr>
        <w:t xml:space="preserve"> (pp. 12695–12702). Association for Computational Linguistics. https://doi.org/10.18653/v1/2024.emnlp-main.707</w:t>
      </w:r>
    </w:p>
    <w:p>
      <w:pPr>
        <w:spacing w:after="100" w:line="264"/>
        <w:ind w:left="720" w:hanging="720"/>
      </w:pPr>
      <w:r>
        <w:rPr>
          <w:rFonts w:ascii="Times New Roman" w:cs="Times New Roman" w:eastAsia="Times New Roman" w:hAnsi="Times New Roman"/>
          <w:sz w:val="22"/>
          <w:szCs w:val="22"/>
        </w:rPr>
        <w:t xml:space="preserve">Kandpal, N., Deng, H., Roberts, A., Wallace, E., &amp; Raffel, C. (2023). Large language models struggle to learn long-tail knowledge. In </w:t>
      </w:r>
      <w:r>
        <w:rPr>
          <w:rFonts w:ascii="Times New Roman" w:cs="Times New Roman" w:eastAsia="Times New Roman" w:hAnsi="Times New Roman"/>
          <w:i/>
          <w:iCs/>
          <w:sz w:val="22"/>
          <w:szCs w:val="22"/>
        </w:rPr>
        <w:t xml:space="preserve">Proceedings of the 40th International Conference on Machine Learning</w:t>
      </w:r>
      <w:r>
        <w:rPr>
          <w:rFonts w:ascii="Times New Roman" w:cs="Times New Roman" w:eastAsia="Times New Roman" w:hAnsi="Times New Roman"/>
          <w:sz w:val="22"/>
          <w:szCs w:val="22"/>
        </w:rPr>
        <w:t xml:space="preserve"> (Proceedings of Machine Learning Research, Vol. 202, pp. 15696–15707). PMLR. https://proceedings.mlr.press/v202/kandpal23a.html</w:t>
      </w:r>
    </w:p>
    <w:p>
      <w:pPr>
        <w:spacing w:after="100" w:line="264"/>
        <w:ind w:left="720" w:hanging="720"/>
      </w:pPr>
      <w:r>
        <w:rPr>
          <w:rFonts w:ascii="Times New Roman" w:cs="Times New Roman" w:eastAsia="Times New Roman" w:hAnsi="Times New Roman"/>
          <w:sz w:val="22"/>
          <w:szCs w:val="22"/>
        </w:rPr>
        <w:t xml:space="preserve">Kannan, P. K., &amp; Li, H. A. (2017). Digital marketing: A framework, review and research agenda. </w:t>
      </w:r>
      <w:r>
        <w:rPr>
          <w:rFonts w:ascii="Times New Roman" w:cs="Times New Roman" w:eastAsia="Times New Roman" w:hAnsi="Times New Roman"/>
          <w:i/>
          <w:iCs/>
          <w:sz w:val="22"/>
          <w:szCs w:val="22"/>
        </w:rPr>
        <w:t xml:space="preserve">International Journal of Research in Marketing, 34</w:t>
      </w:r>
      <w:r>
        <w:rPr>
          <w:rFonts w:ascii="Times New Roman" w:cs="Times New Roman" w:eastAsia="Times New Roman" w:hAnsi="Times New Roman"/>
          <w:sz w:val="22"/>
          <w:szCs w:val="22"/>
        </w:rPr>
        <w:t xml:space="preserve">(1), 22–45. https://doi.org/10.1016/j.ijresmar.2016.11.006</w:t>
      </w:r>
    </w:p>
    <w:p>
      <w:pPr>
        <w:spacing w:after="100" w:line="264"/>
        <w:ind w:left="720" w:hanging="720"/>
      </w:pPr>
      <w:r>
        <w:rPr>
          <w:rFonts w:ascii="Times New Roman" w:cs="Times New Roman" w:eastAsia="Times New Roman" w:hAnsi="Times New Roman"/>
          <w:sz w:val="22"/>
          <w:szCs w:val="22"/>
        </w:rPr>
        <w:t xml:space="preserve">Keller, K. L. (1993). Conceptualizing, measuring, and managing customer-based brand equity. </w:t>
      </w:r>
      <w:r>
        <w:rPr>
          <w:rFonts w:ascii="Times New Roman" w:cs="Times New Roman" w:eastAsia="Times New Roman" w:hAnsi="Times New Roman"/>
          <w:i/>
          <w:iCs/>
          <w:sz w:val="22"/>
          <w:szCs w:val="22"/>
        </w:rPr>
        <w:t xml:space="preserve">Journal of Marketing, 57</w:t>
      </w:r>
      <w:r>
        <w:rPr>
          <w:rFonts w:ascii="Times New Roman" w:cs="Times New Roman" w:eastAsia="Times New Roman" w:hAnsi="Times New Roman"/>
          <w:sz w:val="22"/>
          <w:szCs w:val="22"/>
        </w:rPr>
        <w:t xml:space="preserve">(1), 1–22. https://doi.org/10.1177/002224299305700101</w:t>
      </w:r>
    </w:p>
    <w:p>
      <w:pPr>
        <w:spacing w:after="100" w:line="264"/>
        <w:ind w:left="720" w:hanging="720"/>
      </w:pPr>
      <w:r>
        <w:rPr>
          <w:rFonts w:ascii="Times New Roman" w:cs="Times New Roman" w:eastAsia="Times New Roman" w:hAnsi="Times New Roman"/>
          <w:sz w:val="22"/>
          <w:szCs w:val="22"/>
        </w:rPr>
        <w:t xml:space="preserve">Keller, K. L. (2016). Reflections on customer-based brand equity: Perspectives, progress, and priorities. </w:t>
      </w:r>
      <w:r>
        <w:rPr>
          <w:rFonts w:ascii="Times New Roman" w:cs="Times New Roman" w:eastAsia="Times New Roman" w:hAnsi="Times New Roman"/>
          <w:i/>
          <w:iCs/>
          <w:sz w:val="22"/>
          <w:szCs w:val="22"/>
        </w:rPr>
        <w:t xml:space="preserve">AMS Review, 6</w:t>
      </w:r>
      <w:r>
        <w:rPr>
          <w:rFonts w:ascii="Times New Roman" w:cs="Times New Roman" w:eastAsia="Times New Roman" w:hAnsi="Times New Roman"/>
          <w:sz w:val="22"/>
          <w:szCs w:val="22"/>
        </w:rPr>
        <w:t xml:space="preserve">(1–2), 1–16. https://doi.org/10.1007/s13162-016-0078-z</w:t>
      </w:r>
    </w:p>
    <w:p>
      <w:pPr>
        <w:spacing w:after="100" w:line="264"/>
        <w:ind w:left="720" w:hanging="720"/>
      </w:pPr>
      <w:r>
        <w:rPr>
          <w:rFonts w:ascii="Times New Roman" w:cs="Times New Roman" w:eastAsia="Times New Roman" w:hAnsi="Times New Roman"/>
          <w:sz w:val="22"/>
          <w:szCs w:val="22"/>
        </w:rPr>
        <w:t xml:space="preserve">Kohli, C. (2025, July 18). Airtel partners with Perplexity to offer free Pro subscriptions. </w:t>
      </w:r>
      <w:r>
        <w:rPr>
          <w:rFonts w:ascii="Times New Roman" w:cs="Times New Roman" w:eastAsia="Times New Roman" w:hAnsi="Times New Roman"/>
          <w:i/>
          <w:iCs/>
          <w:sz w:val="22"/>
          <w:szCs w:val="22"/>
        </w:rPr>
        <w:t xml:space="preserve">MediaNama</w:t>
      </w:r>
      <w:r>
        <w:rPr>
          <w:rFonts w:ascii="Times New Roman" w:cs="Times New Roman" w:eastAsia="Times New Roman" w:hAnsi="Times New Roman"/>
          <w:sz w:val="22"/>
          <w:szCs w:val="22"/>
        </w:rPr>
        <w:t xml:space="preserve">. https://www.medianama.com/2025/07/223-airtel-partners-perplexity-free-pro-subscriptions/</w:t>
      </w:r>
    </w:p>
    <w:p>
      <w:pPr>
        <w:spacing w:after="100" w:line="264"/>
        <w:ind w:left="720" w:hanging="720"/>
      </w:pPr>
      <w:r>
        <w:rPr>
          <w:rFonts w:ascii="Times New Roman" w:cs="Times New Roman" w:eastAsia="Times New Roman" w:hAnsi="Times New Roman"/>
          <w:sz w:val="22"/>
          <w:szCs w:val="22"/>
        </w:rPr>
        <w:t xml:space="preserve">Krippendorff, K. (2019). </w:t>
      </w:r>
      <w:r>
        <w:rPr>
          <w:rFonts w:ascii="Times New Roman" w:cs="Times New Roman" w:eastAsia="Times New Roman" w:hAnsi="Times New Roman"/>
          <w:i/>
          <w:iCs/>
          <w:sz w:val="22"/>
          <w:szCs w:val="22"/>
        </w:rPr>
        <w:t xml:space="preserve">Content analysis: An introduction to its methodology</w:t>
      </w:r>
      <w:r>
        <w:rPr>
          <w:rFonts w:ascii="Times New Roman" w:cs="Times New Roman" w:eastAsia="Times New Roman" w:hAnsi="Times New Roman"/>
          <w:sz w:val="22"/>
          <w:szCs w:val="22"/>
        </w:rPr>
        <w:t xml:space="preserve"> (4th ed.). SAGE. https://doi.org/10.4135/9781071878781</w:t>
      </w:r>
    </w:p>
    <w:p>
      <w:pPr>
        <w:spacing w:after="100" w:line="264"/>
        <w:ind w:left="720" w:hanging="720"/>
      </w:pPr>
      <w:r>
        <w:rPr>
          <w:rFonts w:ascii="Times New Roman" w:cs="Times New Roman" w:eastAsia="Times New Roman" w:hAnsi="Times New Roman"/>
          <w:sz w:val="22"/>
          <w:szCs w:val="22"/>
        </w:rPr>
        <w:t xml:space="preserve">Kumar, A., &amp; Lakkaraju, H. (2024). </w:t>
      </w:r>
      <w:r>
        <w:rPr>
          <w:rFonts w:ascii="Times New Roman" w:cs="Times New Roman" w:eastAsia="Times New Roman" w:hAnsi="Times New Roman"/>
          <w:i/>
          <w:iCs/>
          <w:sz w:val="22"/>
          <w:szCs w:val="22"/>
        </w:rPr>
        <w:t xml:space="preserve">Manipulating large language models to increase product visibility</w:t>
      </w:r>
      <w:r>
        <w:rPr>
          <w:rFonts w:ascii="Times New Roman" w:cs="Times New Roman" w:eastAsia="Times New Roman" w:hAnsi="Times New Roman"/>
          <w:sz w:val="22"/>
          <w:szCs w:val="22"/>
        </w:rPr>
        <w:t xml:space="preserve"> (arXiv:2404.07981). arXiv. https://doi.org/10.48550/arXiv.2404.07981</w:t>
      </w:r>
    </w:p>
    <w:p>
      <w:pPr>
        <w:spacing w:after="100" w:line="264"/>
        <w:ind w:left="720" w:hanging="720"/>
      </w:pPr>
      <w:r>
        <w:rPr>
          <w:rFonts w:ascii="Times New Roman" w:cs="Times New Roman" w:eastAsia="Times New Roman" w:hAnsi="Times New Roman"/>
          <w:sz w:val="22"/>
          <w:szCs w:val="22"/>
        </w:rPr>
        <w:t xml:space="preserve">Landis, J. R., &amp; Koch, G. G. (1977). The measurement of observer agreement for categorical data. </w:t>
      </w:r>
      <w:r>
        <w:rPr>
          <w:rFonts w:ascii="Times New Roman" w:cs="Times New Roman" w:eastAsia="Times New Roman" w:hAnsi="Times New Roman"/>
          <w:i/>
          <w:iCs/>
          <w:sz w:val="22"/>
          <w:szCs w:val="22"/>
        </w:rPr>
        <w:t xml:space="preserve">Biometrics, 33</w:t>
      </w:r>
      <w:r>
        <w:rPr>
          <w:rFonts w:ascii="Times New Roman" w:cs="Times New Roman" w:eastAsia="Times New Roman" w:hAnsi="Times New Roman"/>
          <w:sz w:val="22"/>
          <w:szCs w:val="22"/>
        </w:rPr>
        <w:t xml:space="preserve">(1), 159–174. https://doi.org/10.2307/2529310</w:t>
      </w:r>
    </w:p>
    <w:p>
      <w:pPr>
        <w:spacing w:after="100" w:line="264"/>
        <w:ind w:left="720" w:hanging="720"/>
      </w:pPr>
      <w:r>
        <w:rPr>
          <w:rFonts w:ascii="Times New Roman" w:cs="Times New Roman" w:eastAsia="Times New Roman" w:hAnsi="Times New Roman"/>
          <w:sz w:val="22"/>
          <w:szCs w:val="22"/>
        </w:rPr>
        <w:t xml:space="preserve">Lavidge, R. J., &amp; Steiner, G. A. (1961). A model for predictive measurements of advertising effectiveness. </w:t>
      </w:r>
      <w:r>
        <w:rPr>
          <w:rFonts w:ascii="Times New Roman" w:cs="Times New Roman" w:eastAsia="Times New Roman" w:hAnsi="Times New Roman"/>
          <w:i/>
          <w:iCs/>
          <w:sz w:val="22"/>
          <w:szCs w:val="22"/>
        </w:rPr>
        <w:t xml:space="preserve">Journal of Marketing, 25</w:t>
      </w:r>
      <w:r>
        <w:rPr>
          <w:rFonts w:ascii="Times New Roman" w:cs="Times New Roman" w:eastAsia="Times New Roman" w:hAnsi="Times New Roman"/>
          <w:sz w:val="22"/>
          <w:szCs w:val="22"/>
        </w:rPr>
        <w:t xml:space="preserve">(6), 59–62. https://doi.org/10.1177/002224296102500611</w:t>
      </w:r>
    </w:p>
    <w:p>
      <w:pPr>
        <w:spacing w:after="100" w:line="264"/>
        <w:ind w:left="720" w:hanging="720"/>
      </w:pPr>
      <w:r>
        <w:rPr>
          <w:rFonts w:ascii="Times New Roman" w:cs="Times New Roman" w:eastAsia="Times New Roman" w:hAnsi="Times New Roman"/>
          <w:sz w:val="22"/>
          <w:szCs w:val="22"/>
        </w:rPr>
        <w:t xml:space="preserve">Lewis, P., Perez, E., Piktus, A., Petroni, F., Karpukhin, V., Goyal, N., Küttler, H., Lewis, M., Yih, W., Rocktäschel, T., Riedel, S., &amp; Kiela, D. (2020). Retrieval-augmented generation for knowledge-intensive NLP tasks. In </w:t>
      </w:r>
      <w:r>
        <w:rPr>
          <w:rFonts w:ascii="Times New Roman" w:cs="Times New Roman" w:eastAsia="Times New Roman" w:hAnsi="Times New Roman"/>
          <w:i/>
          <w:iCs/>
          <w:sz w:val="22"/>
          <w:szCs w:val="22"/>
        </w:rPr>
        <w:t xml:space="preserve">Advances in Neural Information Processing Systems</w:t>
      </w:r>
      <w:r>
        <w:rPr>
          <w:rFonts w:ascii="Times New Roman" w:cs="Times New Roman" w:eastAsia="Times New Roman" w:hAnsi="Times New Roman"/>
          <w:sz w:val="22"/>
          <w:szCs w:val="22"/>
        </w:rPr>
        <w:t xml:space="preserve"> (Vol. 33, pp. 9459–9474). Curran Associates.</w:t>
      </w:r>
    </w:p>
    <w:p>
      <w:pPr>
        <w:spacing w:after="100" w:line="264"/>
        <w:ind w:left="720" w:hanging="720"/>
      </w:pPr>
      <w:r>
        <w:rPr>
          <w:rFonts w:ascii="Times New Roman" w:cs="Times New Roman" w:eastAsia="Times New Roman" w:hAnsi="Times New Roman"/>
          <w:sz w:val="22"/>
          <w:szCs w:val="22"/>
        </w:rPr>
        <w:t xml:space="preserve">Liang, K.-Y., &amp; Zeger, S. L. (1986). Longitudinal data analysis using generalized linear models. </w:t>
      </w:r>
      <w:r>
        <w:rPr>
          <w:rFonts w:ascii="Times New Roman" w:cs="Times New Roman" w:eastAsia="Times New Roman" w:hAnsi="Times New Roman"/>
          <w:i/>
          <w:iCs/>
          <w:sz w:val="22"/>
          <w:szCs w:val="22"/>
        </w:rPr>
        <w:t xml:space="preserve">Biometrika, 73</w:t>
      </w:r>
      <w:r>
        <w:rPr>
          <w:rFonts w:ascii="Times New Roman" w:cs="Times New Roman" w:eastAsia="Times New Roman" w:hAnsi="Times New Roman"/>
          <w:sz w:val="22"/>
          <w:szCs w:val="22"/>
        </w:rPr>
        <w:t xml:space="preserve">(1), 13–22. https://doi.org/10.1093/biomet/73.1.13</w:t>
      </w:r>
    </w:p>
    <w:p>
      <w:pPr>
        <w:spacing w:after="100" w:line="264"/>
        <w:ind w:left="720" w:hanging="720"/>
      </w:pPr>
      <w:r>
        <w:rPr>
          <w:rFonts w:ascii="Times New Roman" w:cs="Times New Roman" w:eastAsia="Times New Roman" w:hAnsi="Times New Roman"/>
          <w:sz w:val="22"/>
          <w:szCs w:val="22"/>
        </w:rPr>
        <w:t xml:space="preserve">Liu, N. F., Zhang, T., &amp; Liang, P. (2023). Evaluating verifiability in generative search engines. In </w:t>
      </w:r>
      <w:r>
        <w:rPr>
          <w:rFonts w:ascii="Times New Roman" w:cs="Times New Roman" w:eastAsia="Times New Roman" w:hAnsi="Times New Roman"/>
          <w:i/>
          <w:iCs/>
          <w:sz w:val="22"/>
          <w:szCs w:val="22"/>
        </w:rPr>
        <w:t xml:space="preserve">Findings of the Association for Computational Linguistics: EMNLP 2023</w:t>
      </w:r>
      <w:r>
        <w:rPr>
          <w:rFonts w:ascii="Times New Roman" w:cs="Times New Roman" w:eastAsia="Times New Roman" w:hAnsi="Times New Roman"/>
          <w:sz w:val="22"/>
          <w:szCs w:val="22"/>
        </w:rPr>
        <w:t xml:space="preserve"> (pp. 7001–7025). Association for Computational Linguistics. https://doi.org/10.18653/v1/2023.findings-emnlp.467</w:t>
      </w:r>
    </w:p>
    <w:p>
      <w:pPr>
        <w:spacing w:after="100" w:line="264"/>
        <w:ind w:left="720" w:hanging="720"/>
      </w:pPr>
      <w:r>
        <w:rPr>
          <w:rFonts w:ascii="Times New Roman" w:cs="Times New Roman" w:eastAsia="Times New Roman" w:hAnsi="Times New Roman"/>
          <w:sz w:val="22"/>
          <w:szCs w:val="22"/>
        </w:rPr>
        <w:t xml:space="preserve">Lombard, M., Snyder-Duch, J., &amp; Bracken, C. C. (2002). Content analysis in mass communication: Assessment and reporting of intercoder reliability. </w:t>
      </w:r>
      <w:r>
        <w:rPr>
          <w:rFonts w:ascii="Times New Roman" w:cs="Times New Roman" w:eastAsia="Times New Roman" w:hAnsi="Times New Roman"/>
          <w:i/>
          <w:iCs/>
          <w:sz w:val="22"/>
          <w:szCs w:val="22"/>
        </w:rPr>
        <w:t xml:space="preserve">Human Communication Research, 28</w:t>
      </w:r>
      <w:r>
        <w:rPr>
          <w:rFonts w:ascii="Times New Roman" w:cs="Times New Roman" w:eastAsia="Times New Roman" w:hAnsi="Times New Roman"/>
          <w:sz w:val="22"/>
          <w:szCs w:val="22"/>
        </w:rPr>
        <w:t xml:space="preserve">(4), 587–604. https://doi.org/10.1111/j.1468-2958.2002.tb00826.x</w:t>
      </w:r>
    </w:p>
    <w:p>
      <w:pPr>
        <w:spacing w:after="100" w:line="264"/>
        <w:ind w:left="720" w:hanging="720"/>
      </w:pPr>
      <w:r>
        <w:rPr>
          <w:rFonts w:ascii="Times New Roman" w:cs="Times New Roman" w:eastAsia="Times New Roman" w:hAnsi="Times New Roman"/>
          <w:sz w:val="22"/>
          <w:szCs w:val="22"/>
        </w:rPr>
        <w:t xml:space="preserve">Mallen, A., Asai, A., Zhong, V., Das, R., Khashabi, D., &amp; Hajishirzi, H. (2023). When not to trust language models: Investigating effectiveness of parametric and non-parametric memories. In </w:t>
      </w:r>
      <w:r>
        <w:rPr>
          <w:rFonts w:ascii="Times New Roman" w:cs="Times New Roman" w:eastAsia="Times New Roman" w:hAnsi="Times New Roman"/>
          <w:i/>
          <w:iCs/>
          <w:sz w:val="22"/>
          <w:szCs w:val="22"/>
        </w:rPr>
        <w:t xml:space="preserve">Proceedings of the 61st Annual Meeting of the Association for Computational Linguistics (Volume 1: Long Papers)</w:t>
      </w:r>
      <w:r>
        <w:rPr>
          <w:rFonts w:ascii="Times New Roman" w:cs="Times New Roman" w:eastAsia="Times New Roman" w:hAnsi="Times New Roman"/>
          <w:sz w:val="22"/>
          <w:szCs w:val="22"/>
        </w:rPr>
        <w:t xml:space="preserve"> (pp. 9802–9822). Association for Computational Linguistics. https://doi.org/10.18653/v1/2023.acl-long.546</w:t>
      </w:r>
    </w:p>
    <w:p>
      <w:pPr>
        <w:spacing w:after="100" w:line="264"/>
        <w:ind w:left="720" w:hanging="720"/>
      </w:pPr>
      <w:r>
        <w:rPr>
          <w:rFonts w:ascii="Times New Roman" w:cs="Times New Roman" w:eastAsia="Times New Roman" w:hAnsi="Times New Roman"/>
          <w:sz w:val="22"/>
          <w:szCs w:val="22"/>
        </w:rPr>
        <w:t xml:space="preserve">Malthouse, E., Lee, K.-Y., Yang, J., Pal, S., &amp; Feng, X. (2026). </w:t>
      </w:r>
      <w:r>
        <w:rPr>
          <w:rFonts w:ascii="Times New Roman" w:cs="Times New Roman" w:eastAsia="Times New Roman" w:hAnsi="Times New Roman"/>
          <w:i/>
          <w:iCs/>
          <w:sz w:val="22"/>
          <w:szCs w:val="22"/>
        </w:rPr>
        <w:t xml:space="preserve">Evaluating brand retrieval and ranking in large language model recommendations</w:t>
      </w:r>
      <w:r>
        <w:rPr>
          <w:rFonts w:ascii="Times New Roman" w:cs="Times New Roman" w:eastAsia="Times New Roman" w:hAnsi="Times New Roman"/>
          <w:sz w:val="22"/>
          <w:szCs w:val="22"/>
        </w:rPr>
        <w:t xml:space="preserve"> (arXiv:2609.16304). arXiv. https://doi.org/10.48550/arXiv.2609.16304</w:t>
      </w:r>
    </w:p>
    <w:p>
      <w:pPr>
        <w:spacing w:after="100" w:line="264"/>
        <w:ind w:left="720" w:hanging="720"/>
      </w:pPr>
      <w:r>
        <w:rPr>
          <w:rFonts w:ascii="Times New Roman" w:cs="Times New Roman" w:eastAsia="Times New Roman" w:hAnsi="Times New Roman"/>
          <w:sz w:val="22"/>
          <w:szCs w:val="22"/>
        </w:rPr>
        <w:t xml:space="preserve">Marin, L. G. U.-B., Bertaglia, T., Astante, G., Rijsbosch, B., van Dijck, G., Hannák, A., Spanakis, G., &amp; Kollnig, K. (2026). </w:t>
      </w:r>
      <w:r>
        <w:rPr>
          <w:rFonts w:ascii="Times New Roman" w:cs="Times New Roman" w:eastAsia="Times New Roman" w:hAnsi="Times New Roman"/>
          <w:i/>
          <w:iCs/>
          <w:sz w:val="22"/>
          <w:szCs w:val="22"/>
        </w:rPr>
        <w:t xml:space="preserve">"If I had to buy just ONE: Galaxy S26 Ultra": Auditing AI-generated product recommendations</w:t>
      </w:r>
      <w:r>
        <w:rPr>
          <w:rFonts w:ascii="Times New Roman" w:cs="Times New Roman" w:eastAsia="Times New Roman" w:hAnsi="Times New Roman"/>
          <w:sz w:val="22"/>
          <w:szCs w:val="22"/>
        </w:rPr>
        <w:t xml:space="preserve"> (arXiv:2609.18729). arXiv. https://doi.org/10.48550/arXiv.2609.18729</w:t>
      </w:r>
    </w:p>
    <w:p>
      <w:pPr>
        <w:spacing w:after="100" w:line="264"/>
        <w:ind w:left="720" w:hanging="720"/>
      </w:pPr>
      <w:r>
        <w:rPr>
          <w:rFonts w:ascii="Times New Roman" w:cs="Times New Roman" w:eastAsia="Times New Roman" w:hAnsi="Times New Roman"/>
          <w:sz w:val="22"/>
          <w:szCs w:val="22"/>
        </w:rPr>
        <w:t xml:space="preserve">Martinez, O. (2026). </w:t>
      </w:r>
      <w:r>
        <w:rPr>
          <w:rFonts w:ascii="Times New Roman" w:cs="Times New Roman" w:eastAsia="Times New Roman" w:hAnsi="Times New Roman"/>
          <w:i/>
          <w:iCs/>
          <w:sz w:val="22"/>
          <w:szCs w:val="22"/>
        </w:rPr>
        <w:t xml:space="preserve">Optimizing visibility in generative engines: A critical survey of generative engine optimization (2023–2026)</w:t>
      </w:r>
      <w:r>
        <w:rPr>
          <w:rFonts w:ascii="Times New Roman" w:cs="Times New Roman" w:eastAsia="Times New Roman" w:hAnsi="Times New Roman"/>
          <w:sz w:val="22"/>
          <w:szCs w:val="22"/>
        </w:rPr>
        <w:t xml:space="preserve"> (arXiv:2607.14035). arXiv. https://doi.org/10.48550/arXiv.2607.14035</w:t>
      </w:r>
    </w:p>
    <w:p>
      <w:pPr>
        <w:spacing w:after="100" w:line="264"/>
        <w:ind w:left="720" w:hanging="720"/>
      </w:pPr>
      <w:r>
        <w:rPr>
          <w:rFonts w:ascii="Times New Roman" w:cs="Times New Roman" w:eastAsia="Times New Roman" w:hAnsi="Times New Roman"/>
          <w:sz w:val="22"/>
          <w:szCs w:val="22"/>
        </w:rPr>
        <w:t xml:space="preserve">Martins, M. (2025, April 23). Hindustan Unilever completes acquisition of 90.5 percent stake in Minimalist for Rs 2,706 crore. </w:t>
      </w:r>
      <w:r>
        <w:rPr>
          <w:rFonts w:ascii="Times New Roman" w:cs="Times New Roman" w:eastAsia="Times New Roman" w:hAnsi="Times New Roman"/>
          <w:i/>
          <w:iCs/>
          <w:sz w:val="22"/>
          <w:szCs w:val="22"/>
        </w:rPr>
        <w:t xml:space="preserve">FashionNetwork</w:t>
      </w:r>
      <w:r>
        <w:rPr>
          <w:rFonts w:ascii="Times New Roman" w:cs="Times New Roman" w:eastAsia="Times New Roman" w:hAnsi="Times New Roman"/>
          <w:sz w:val="22"/>
          <w:szCs w:val="22"/>
        </w:rPr>
        <w:t xml:space="preserve">. https://in.fashionnetwork.com/news/Hindustan-unilever-completes-acquisition-of-90-5-percent-stake-in-minimalist-for-rs-2-706-crore,1722276.html</w:t>
      </w:r>
    </w:p>
    <w:p>
      <w:pPr>
        <w:spacing w:after="100" w:line="264"/>
        <w:ind w:left="720" w:hanging="720"/>
      </w:pPr>
      <w:r>
        <w:rPr>
          <w:rFonts w:ascii="Times New Roman" w:cs="Times New Roman" w:eastAsia="Times New Roman" w:hAnsi="Times New Roman"/>
          <w:sz w:val="22"/>
          <w:szCs w:val="22"/>
        </w:rPr>
        <w:t xml:space="preserve">Metaxa, D., Park, J. S., Robertson, R. E., Karahalios, K., Wilson, C., Hancock, J., &amp; Sandvig, C. (2021). Auditing algorithms: Understanding algorithmic systems from the outside in. </w:t>
      </w:r>
      <w:r>
        <w:rPr>
          <w:rFonts w:ascii="Times New Roman" w:cs="Times New Roman" w:eastAsia="Times New Roman" w:hAnsi="Times New Roman"/>
          <w:i/>
          <w:iCs/>
          <w:sz w:val="22"/>
          <w:szCs w:val="22"/>
        </w:rPr>
        <w:t xml:space="preserve">Foundations and Trends in Human–Computer Interaction, 14</w:t>
      </w:r>
      <w:r>
        <w:rPr>
          <w:rFonts w:ascii="Times New Roman" w:cs="Times New Roman" w:eastAsia="Times New Roman" w:hAnsi="Times New Roman"/>
          <w:sz w:val="22"/>
          <w:szCs w:val="22"/>
        </w:rPr>
        <w:t xml:space="preserve">(4), 272–344. https://doi.org/10.1561/1100000083</w:t>
      </w:r>
    </w:p>
    <w:p>
      <w:pPr>
        <w:spacing w:after="100" w:line="264"/>
        <w:ind w:left="720" w:hanging="720"/>
      </w:pPr>
      <w:r>
        <w:rPr>
          <w:rFonts w:ascii="Times New Roman" w:cs="Times New Roman" w:eastAsia="Times New Roman" w:hAnsi="Times New Roman"/>
          <w:sz w:val="22"/>
          <w:szCs w:val="22"/>
        </w:rPr>
        <w:t xml:space="preserve">Ministry of Electronics and Information Technology. (2025). </w:t>
      </w:r>
      <w:r>
        <w:rPr>
          <w:rFonts w:ascii="Times New Roman" w:cs="Times New Roman" w:eastAsia="Times New Roman" w:hAnsi="Times New Roman"/>
          <w:i/>
          <w:iCs/>
          <w:sz w:val="22"/>
          <w:szCs w:val="22"/>
        </w:rPr>
        <w:t xml:space="preserve">India AI governance guidelines: Enabling safe and trusted AI innovation</w:t>
      </w:r>
      <w:r>
        <w:rPr>
          <w:rFonts w:ascii="Times New Roman" w:cs="Times New Roman" w:eastAsia="Times New Roman" w:hAnsi="Times New Roman"/>
          <w:sz w:val="22"/>
          <w:szCs w:val="22"/>
        </w:rPr>
        <w:t xml:space="preserve">. Government of India. https://static.pib.gov.in/WriteReadData/specificdocs/documents/2025/nov/doc2025115685601.pdf</w:t>
      </w:r>
    </w:p>
    <w:p>
      <w:pPr>
        <w:spacing w:after="100" w:line="264"/>
        <w:ind w:left="720" w:hanging="720"/>
      </w:pPr>
      <w:r>
        <w:rPr>
          <w:rFonts w:ascii="Times New Roman" w:cs="Times New Roman" w:eastAsia="Times New Roman" w:hAnsi="Times New Roman"/>
          <w:sz w:val="22"/>
          <w:szCs w:val="22"/>
        </w:rPr>
        <w:t xml:space="preserve">Nedungadi, P. (1990). Recall and consumer consideration sets: Influencing choice without altering brand evaluations. </w:t>
      </w:r>
      <w:r>
        <w:rPr>
          <w:rFonts w:ascii="Times New Roman" w:cs="Times New Roman" w:eastAsia="Times New Roman" w:hAnsi="Times New Roman"/>
          <w:i/>
          <w:iCs/>
          <w:sz w:val="22"/>
          <w:szCs w:val="22"/>
        </w:rPr>
        <w:t xml:space="preserve">Journal of Consumer Research, 17</w:t>
      </w:r>
      <w:r>
        <w:rPr>
          <w:rFonts w:ascii="Times New Roman" w:cs="Times New Roman" w:eastAsia="Times New Roman" w:hAnsi="Times New Roman"/>
          <w:sz w:val="22"/>
          <w:szCs w:val="22"/>
        </w:rPr>
        <w:t xml:space="preserve">(3), 263–276. https://doi.org/10.1086/208556</w:t>
      </w:r>
    </w:p>
    <w:p>
      <w:pPr>
        <w:spacing w:after="100" w:line="264"/>
        <w:ind w:left="720" w:hanging="720"/>
      </w:pPr>
      <w:r>
        <w:rPr>
          <w:rFonts w:ascii="Times New Roman" w:cs="Times New Roman" w:eastAsia="Times New Roman" w:hAnsi="Times New Roman"/>
          <w:sz w:val="22"/>
          <w:szCs w:val="22"/>
        </w:rPr>
        <w:t xml:space="preserve">Nestaas, F., Debenedetti, E., &amp; Tramèr, F. (2025). Adversarial search engine optimization for large language models. In </w:t>
      </w:r>
      <w:r>
        <w:rPr>
          <w:rFonts w:ascii="Times New Roman" w:cs="Times New Roman" w:eastAsia="Times New Roman" w:hAnsi="Times New Roman"/>
          <w:i/>
          <w:iCs/>
          <w:sz w:val="22"/>
          <w:szCs w:val="22"/>
        </w:rPr>
        <w:t xml:space="preserve">The Thirteenth International Conference on Learning Representations (ICLR 2025)</w:t>
      </w:r>
      <w:r>
        <w:rPr>
          <w:rFonts w:ascii="Times New Roman" w:cs="Times New Roman" w:eastAsia="Times New Roman" w:hAnsi="Times New Roman"/>
          <w:sz w:val="22"/>
          <w:szCs w:val="22"/>
        </w:rPr>
        <w:t xml:space="preserve">. https://openreview.net/forum?id=hkdqxN3c7t</w:t>
      </w:r>
    </w:p>
    <w:p>
      <w:pPr>
        <w:spacing w:after="100" w:line="264"/>
        <w:ind w:left="720" w:hanging="720"/>
      </w:pPr>
      <w:r>
        <w:rPr>
          <w:rFonts w:ascii="Times New Roman" w:cs="Times New Roman" w:eastAsia="Times New Roman" w:hAnsi="Times New Roman"/>
          <w:sz w:val="22"/>
          <w:szCs w:val="22"/>
        </w:rPr>
        <w:t xml:space="preserve">News On AIR. (2024, August 15). </w:t>
      </w:r>
      <w:r>
        <w:rPr>
          <w:rFonts w:ascii="Times New Roman" w:cs="Times New Roman" w:eastAsia="Times New Roman" w:hAnsi="Times New Roman"/>
          <w:i/>
          <w:iCs/>
          <w:sz w:val="22"/>
          <w:szCs w:val="22"/>
        </w:rPr>
        <w:t xml:space="preserve">Google expands 'AI Overviews' feature to India &amp; five other countries</w:t>
      </w:r>
      <w:r>
        <w:rPr>
          <w:rFonts w:ascii="Times New Roman" w:cs="Times New Roman" w:eastAsia="Times New Roman" w:hAnsi="Times New Roman"/>
          <w:sz w:val="22"/>
          <w:szCs w:val="22"/>
        </w:rPr>
        <w:t xml:space="preserve">. Prasar Bharati. https://www.newsonair.gov.in/google-expands-ai-overviews-feature-to-india-five-other-countries</w:t>
      </w:r>
    </w:p>
    <w:p>
      <w:pPr>
        <w:spacing w:after="100" w:line="264"/>
        <w:ind w:left="720" w:hanging="720"/>
      </w:pPr>
      <w:r>
        <w:rPr>
          <w:rFonts w:ascii="Times New Roman" w:cs="Times New Roman" w:eastAsia="Times New Roman" w:hAnsi="Times New Roman"/>
          <w:sz w:val="22"/>
          <w:szCs w:val="22"/>
        </w:rPr>
        <w:t xml:space="preserve">OpenAI. (2026, January 16). </w:t>
      </w:r>
      <w:r>
        <w:rPr>
          <w:rFonts w:ascii="Times New Roman" w:cs="Times New Roman" w:eastAsia="Times New Roman" w:hAnsi="Times New Roman"/>
          <w:i/>
          <w:iCs/>
          <w:sz w:val="22"/>
          <w:szCs w:val="22"/>
        </w:rPr>
        <w:t xml:space="preserve">Our approach to advertising and expanding access to ChatGPT</w:t>
      </w:r>
      <w:r>
        <w:rPr>
          <w:rFonts w:ascii="Times New Roman" w:cs="Times New Roman" w:eastAsia="Times New Roman" w:hAnsi="Times New Roman"/>
          <w:sz w:val="22"/>
          <w:szCs w:val="22"/>
        </w:rPr>
        <w:t xml:space="preserve">. https://openai.com/index/our-approach-to-advertising-and-expanding-access/</w:t>
      </w:r>
    </w:p>
    <w:p>
      <w:pPr>
        <w:spacing w:after="100" w:line="264"/>
        <w:ind w:left="720" w:hanging="720"/>
      </w:pPr>
      <w:r>
        <w:rPr>
          <w:rFonts w:ascii="Times New Roman" w:cs="Times New Roman" w:eastAsia="Times New Roman" w:hAnsi="Times New Roman"/>
          <w:sz w:val="22"/>
          <w:szCs w:val="22"/>
        </w:rPr>
        <w:t xml:space="preserve">Ouyang, S., Zhang, J. M., Harman, M., &amp; Wang, M. (2025). An empirical study of the non-determinism of ChatGPT in code generation. </w:t>
      </w:r>
      <w:r>
        <w:rPr>
          <w:rFonts w:ascii="Times New Roman" w:cs="Times New Roman" w:eastAsia="Times New Roman" w:hAnsi="Times New Roman"/>
          <w:i/>
          <w:iCs/>
          <w:sz w:val="22"/>
          <w:szCs w:val="22"/>
        </w:rPr>
        <w:t xml:space="preserve">ACM Transactions on Software Engineering and Methodology, 34</w:t>
      </w:r>
      <w:r>
        <w:rPr>
          <w:rFonts w:ascii="Times New Roman" w:cs="Times New Roman" w:eastAsia="Times New Roman" w:hAnsi="Times New Roman"/>
          <w:sz w:val="22"/>
          <w:szCs w:val="22"/>
        </w:rPr>
        <w:t xml:space="preserve">(2), 1–28. https://doi.org/10.1145/3697010</w:t>
      </w:r>
    </w:p>
    <w:p>
      <w:pPr>
        <w:spacing w:after="100" w:line="264"/>
        <w:ind w:left="720" w:hanging="720"/>
      </w:pPr>
      <w:r>
        <w:rPr>
          <w:rFonts w:ascii="Times New Roman" w:cs="Times New Roman" w:eastAsia="Times New Roman" w:hAnsi="Times New Roman"/>
          <w:sz w:val="22"/>
          <w:szCs w:val="22"/>
        </w:rPr>
        <w:t xml:space="preserve">Pan, B., Hembrooke, H., Joachims, T., Lorigo, L., Gay, G., &amp; Granka, L. (2007). In Google we trust: Users' decisions on rank, position, and relevance. </w:t>
      </w:r>
      <w:r>
        <w:rPr>
          <w:rFonts w:ascii="Times New Roman" w:cs="Times New Roman" w:eastAsia="Times New Roman" w:hAnsi="Times New Roman"/>
          <w:i/>
          <w:iCs/>
          <w:sz w:val="22"/>
          <w:szCs w:val="22"/>
        </w:rPr>
        <w:t xml:space="preserve">Journal of Computer-Mediated Communication, 12</w:t>
      </w:r>
      <w:r>
        <w:rPr>
          <w:rFonts w:ascii="Times New Roman" w:cs="Times New Roman" w:eastAsia="Times New Roman" w:hAnsi="Times New Roman"/>
          <w:sz w:val="22"/>
          <w:szCs w:val="22"/>
        </w:rPr>
        <w:t xml:space="preserve">(3), 801–823. https://doi.org/10.1111/j.1083-6101.2007.00351.x</w:t>
      </w:r>
    </w:p>
    <w:p>
      <w:pPr>
        <w:spacing w:after="100" w:line="264"/>
        <w:ind w:left="720" w:hanging="720"/>
      </w:pPr>
      <w:r>
        <w:rPr>
          <w:rFonts w:ascii="Times New Roman" w:cs="Times New Roman" w:eastAsia="Times New Roman" w:hAnsi="Times New Roman"/>
          <w:sz w:val="22"/>
          <w:szCs w:val="22"/>
        </w:rPr>
        <w:t xml:space="preserve">Pangakis, N., Wolken, S., &amp; Fasching, N. (2023). </w:t>
      </w:r>
      <w:r>
        <w:rPr>
          <w:rFonts w:ascii="Times New Roman" w:cs="Times New Roman" w:eastAsia="Times New Roman" w:hAnsi="Times New Roman"/>
          <w:i/>
          <w:iCs/>
          <w:sz w:val="22"/>
          <w:szCs w:val="22"/>
        </w:rPr>
        <w:t xml:space="preserve">Automated annotation with generative AI requires validation</w:t>
      </w:r>
      <w:r>
        <w:rPr>
          <w:rFonts w:ascii="Times New Roman" w:cs="Times New Roman" w:eastAsia="Times New Roman" w:hAnsi="Times New Roman"/>
          <w:sz w:val="22"/>
          <w:szCs w:val="22"/>
        </w:rPr>
        <w:t xml:space="preserve"> (arXiv:2306.00176). arXiv. https://doi.org/10.48550/arXiv.2306.00176</w:t>
      </w:r>
    </w:p>
    <w:p>
      <w:pPr>
        <w:spacing w:after="100" w:line="264"/>
        <w:ind w:left="720" w:hanging="720"/>
      </w:pPr>
      <w:r>
        <w:rPr>
          <w:rFonts w:ascii="Times New Roman" w:cs="Times New Roman" w:eastAsia="Times New Roman" w:hAnsi="Times New Roman"/>
          <w:sz w:val="22"/>
          <w:szCs w:val="22"/>
        </w:rPr>
        <w:t xml:space="preserve">Panickssery, A., Bowman, S. R., &amp; Feng, S. (2024). LLM evaluators recognize and favor their own generations. In </w:t>
      </w:r>
      <w:r>
        <w:rPr>
          <w:rFonts w:ascii="Times New Roman" w:cs="Times New Roman" w:eastAsia="Times New Roman" w:hAnsi="Times New Roman"/>
          <w:i/>
          <w:iCs/>
          <w:sz w:val="22"/>
          <w:szCs w:val="22"/>
        </w:rPr>
        <w:t xml:space="preserve">Advances in Neural Information Processing Systems</w:t>
      </w:r>
      <w:r>
        <w:rPr>
          <w:rFonts w:ascii="Times New Roman" w:cs="Times New Roman" w:eastAsia="Times New Roman" w:hAnsi="Times New Roman"/>
          <w:sz w:val="22"/>
          <w:szCs w:val="22"/>
        </w:rPr>
        <w:t xml:space="preserve"> (Vol. 37, pp. 68772–68802). Curran Associates. https://doi.org/10.52202/079017-2197</w:t>
      </w:r>
    </w:p>
    <w:p>
      <w:pPr>
        <w:spacing w:after="100" w:line="264"/>
        <w:ind w:left="720" w:hanging="720"/>
      </w:pPr>
      <w:r>
        <w:rPr>
          <w:rFonts w:ascii="Times New Roman" w:cs="Times New Roman" w:eastAsia="Times New Roman" w:hAnsi="Times New Roman"/>
          <w:sz w:val="22"/>
          <w:szCs w:val="22"/>
        </w:rPr>
        <w:t xml:space="preserve">Pitenin, V. (2026). </w:t>
      </w:r>
      <w:r>
        <w:rPr>
          <w:rFonts w:ascii="Times New Roman" w:cs="Times New Roman" w:eastAsia="Times New Roman" w:hAnsi="Times New Roman"/>
          <w:i/>
          <w:iCs/>
          <w:sz w:val="22"/>
          <w:szCs w:val="22"/>
        </w:rPr>
        <w:t xml:space="preserve">Invisible to the machine: Auditing AI restaurant, cafe, and bar recommendation against a complete market census</w:t>
      </w:r>
      <w:r>
        <w:rPr>
          <w:rFonts w:ascii="Times New Roman" w:cs="Times New Roman" w:eastAsia="Times New Roman" w:hAnsi="Times New Roman"/>
          <w:sz w:val="22"/>
          <w:szCs w:val="22"/>
        </w:rPr>
        <w:t xml:space="preserve"> (arXiv:2608.07069). arXiv. https://doi.org/10.48550/arXiv.2608.07069</w:t>
      </w:r>
    </w:p>
    <w:p>
      <w:pPr>
        <w:spacing w:after="100" w:line="264"/>
        <w:ind w:left="720" w:hanging="720"/>
      </w:pPr>
      <w:r>
        <w:rPr>
          <w:rFonts w:ascii="Times New Roman" w:cs="Times New Roman" w:eastAsia="Times New Roman" w:hAnsi="Times New Roman"/>
          <w:sz w:val="22"/>
          <w:szCs w:val="22"/>
        </w:rPr>
        <w:t xml:space="preserve">Puerto, H., Gubri, M., Green, T., Oh, S. J., &amp; Yun, S. (2025). C-SEO Bench: Does conversational SEO work? In </w:t>
      </w:r>
      <w:r>
        <w:rPr>
          <w:rFonts w:ascii="Times New Roman" w:cs="Times New Roman" w:eastAsia="Times New Roman" w:hAnsi="Times New Roman"/>
          <w:i/>
          <w:iCs/>
          <w:sz w:val="22"/>
          <w:szCs w:val="22"/>
        </w:rPr>
        <w:t xml:space="preserve">Advances in Neural Information Processing Systems 38: Datasets and Benchmarks Track</w:t>
      </w:r>
      <w:r>
        <w:rPr>
          <w:rFonts w:ascii="Times New Roman" w:cs="Times New Roman" w:eastAsia="Times New Roman" w:hAnsi="Times New Roman"/>
          <w:sz w:val="22"/>
          <w:szCs w:val="22"/>
        </w:rPr>
        <w:t xml:space="preserve">. https://openreview.net/forum?id=oTeixD3oZO</w:t>
      </w:r>
    </w:p>
    <w:p>
      <w:pPr>
        <w:spacing w:after="100" w:line="264"/>
        <w:ind w:left="720" w:hanging="720"/>
      </w:pPr>
      <w:r>
        <w:rPr>
          <w:rFonts w:ascii="Times New Roman" w:cs="Times New Roman" w:eastAsia="Times New Roman" w:hAnsi="Times New Roman"/>
          <w:sz w:val="22"/>
          <w:szCs w:val="22"/>
        </w:rPr>
        <w:t xml:space="preserve">Puntoni, S., Reczek, R. W., Giesler, M., &amp; Botti, S. (2021). Consumers and artificial intelligence: An experiential perspective. </w:t>
      </w:r>
      <w:r>
        <w:rPr>
          <w:rFonts w:ascii="Times New Roman" w:cs="Times New Roman" w:eastAsia="Times New Roman" w:hAnsi="Times New Roman"/>
          <w:i/>
          <w:iCs/>
          <w:sz w:val="22"/>
          <w:szCs w:val="22"/>
        </w:rPr>
        <w:t xml:space="preserve">Journal of Marketing, 85</w:t>
      </w:r>
      <w:r>
        <w:rPr>
          <w:rFonts w:ascii="Times New Roman" w:cs="Times New Roman" w:eastAsia="Times New Roman" w:hAnsi="Times New Roman"/>
          <w:sz w:val="22"/>
          <w:szCs w:val="22"/>
        </w:rPr>
        <w:t xml:space="preserve">(1), 131–151. https://doi.org/10.1177/0022242920953847</w:t>
      </w:r>
    </w:p>
    <w:p>
      <w:pPr>
        <w:spacing w:after="100" w:line="264"/>
        <w:ind w:left="720" w:hanging="720"/>
      </w:pPr>
      <w:r>
        <w:rPr>
          <w:rFonts w:ascii="Times New Roman" w:cs="Times New Roman" w:eastAsia="Times New Roman" w:hAnsi="Times New Roman"/>
          <w:sz w:val="22"/>
          <w:szCs w:val="22"/>
        </w:rPr>
        <w:t xml:space="preserve">Rienecker, J., Mpofu, K., Goel, N., Datta, S., Zhao, J., Danielsson, O., &amp; Thorsen, F. (2026). </w:t>
      </w:r>
      <w:r>
        <w:rPr>
          <w:rFonts w:ascii="Times New Roman" w:cs="Times New Roman" w:eastAsia="Times New Roman" w:hAnsi="Times New Roman"/>
          <w:i/>
          <w:iCs/>
          <w:sz w:val="22"/>
          <w:szCs w:val="22"/>
        </w:rPr>
        <w:t xml:space="preserve">Auditing preferences for brands and cultures in LLMs</w:t>
      </w:r>
      <w:r>
        <w:rPr>
          <w:rFonts w:ascii="Times New Roman" w:cs="Times New Roman" w:eastAsia="Times New Roman" w:hAnsi="Times New Roman"/>
          <w:sz w:val="22"/>
          <w:szCs w:val="22"/>
        </w:rPr>
        <w:t xml:space="preserve"> (arXiv:2603.18300). arXiv. https://doi.org/10.48550/arXiv.2603.18300</w:t>
      </w:r>
    </w:p>
    <w:p>
      <w:pPr>
        <w:spacing w:after="100" w:line="264"/>
        <w:ind w:left="720" w:hanging="720"/>
      </w:pPr>
      <w:r>
        <w:rPr>
          <w:rFonts w:ascii="Times New Roman" w:cs="Times New Roman" w:eastAsia="Times New Roman" w:hAnsi="Times New Roman"/>
          <w:sz w:val="22"/>
          <w:szCs w:val="22"/>
        </w:rPr>
        <w:t xml:space="preserve">Romaniuk, J., &amp; Sharp, B. (2004). Conceptualizing and measuring brand salience. </w:t>
      </w:r>
      <w:r>
        <w:rPr>
          <w:rFonts w:ascii="Times New Roman" w:cs="Times New Roman" w:eastAsia="Times New Roman" w:hAnsi="Times New Roman"/>
          <w:i/>
          <w:iCs/>
          <w:sz w:val="22"/>
          <w:szCs w:val="22"/>
        </w:rPr>
        <w:t xml:space="preserve">Marketing Theory, 4</w:t>
      </w:r>
      <w:r>
        <w:rPr>
          <w:rFonts w:ascii="Times New Roman" w:cs="Times New Roman" w:eastAsia="Times New Roman" w:hAnsi="Times New Roman"/>
          <w:sz w:val="22"/>
          <w:szCs w:val="22"/>
        </w:rPr>
        <w:t xml:space="preserve">(4), 327–342. https://doi.org/10.1177/1470593104047643</w:t>
      </w:r>
    </w:p>
    <w:p>
      <w:pPr>
        <w:spacing w:after="100" w:line="264"/>
        <w:ind w:left="720" w:hanging="720"/>
      </w:pPr>
      <w:r>
        <w:rPr>
          <w:rFonts w:ascii="Times New Roman" w:cs="Times New Roman" w:eastAsia="Times New Roman" w:hAnsi="Times New Roman"/>
          <w:sz w:val="22"/>
          <w:szCs w:val="22"/>
        </w:rPr>
        <w:t xml:space="preserve">Romaniuk, J., &amp; Sharp, B. (2016). </w:t>
      </w:r>
      <w:r>
        <w:rPr>
          <w:rFonts w:ascii="Times New Roman" w:cs="Times New Roman" w:eastAsia="Times New Roman" w:hAnsi="Times New Roman"/>
          <w:i/>
          <w:iCs/>
          <w:sz w:val="22"/>
          <w:szCs w:val="22"/>
        </w:rPr>
        <w:t xml:space="preserve">How brands grow: Part 2</w:t>
      </w:r>
      <w:r>
        <w:rPr>
          <w:rFonts w:ascii="Times New Roman" w:cs="Times New Roman" w:eastAsia="Times New Roman" w:hAnsi="Times New Roman"/>
          <w:sz w:val="22"/>
          <w:szCs w:val="22"/>
        </w:rPr>
        <w:t xml:space="preserve">. Oxford University Press.</w:t>
      </w:r>
    </w:p>
    <w:p>
      <w:pPr>
        <w:spacing w:after="100" w:line="264"/>
        <w:ind w:left="720" w:hanging="720"/>
      </w:pPr>
      <w:r>
        <w:rPr>
          <w:rFonts w:ascii="Times New Roman" w:cs="Times New Roman" w:eastAsia="Times New Roman" w:hAnsi="Times New Roman"/>
          <w:sz w:val="22"/>
          <w:szCs w:val="22"/>
        </w:rPr>
        <w:t xml:space="preserve">Sandvig, C., Hamilton, K., Karahalios, K., &amp; Langbort, C. (2014, May 22). </w:t>
      </w:r>
      <w:r>
        <w:rPr>
          <w:rFonts w:ascii="Times New Roman" w:cs="Times New Roman" w:eastAsia="Times New Roman" w:hAnsi="Times New Roman"/>
          <w:i/>
          <w:iCs/>
          <w:sz w:val="22"/>
          <w:szCs w:val="22"/>
        </w:rPr>
        <w:t xml:space="preserve">Auditing algorithms: Research methods for detecting discrimination on internet platforms</w:t>
      </w:r>
      <w:r>
        <w:rPr>
          <w:rFonts w:ascii="Times New Roman" w:cs="Times New Roman" w:eastAsia="Times New Roman" w:hAnsi="Times New Roman"/>
          <w:sz w:val="22"/>
          <w:szCs w:val="22"/>
        </w:rPr>
        <w:t xml:space="preserve"> [Paper presentation]. Data and Discrimination: Converting Critical Concerns into Productive Inquiry, preconference of the 64th Annual Meeting of the International Communication Association, Seattle, WA, United States.</w:t>
      </w:r>
    </w:p>
    <w:p>
      <w:pPr>
        <w:spacing w:after="100" w:line="264"/>
        <w:ind w:left="720" w:hanging="720"/>
      </w:pPr>
      <w:r>
        <w:rPr>
          <w:rFonts w:ascii="Times New Roman" w:cs="Times New Roman" w:eastAsia="Times New Roman" w:hAnsi="Times New Roman"/>
          <w:sz w:val="22"/>
          <w:szCs w:val="22"/>
        </w:rPr>
        <w:t xml:space="preserve">Sharma, N., Liao, Q. V., &amp; Xiao, Z. (2024). Generative echo chamber? Effect of LLM-powered search systems on diverse information seeking. In </w:t>
      </w:r>
      <w:r>
        <w:rPr>
          <w:rFonts w:ascii="Times New Roman" w:cs="Times New Roman" w:eastAsia="Times New Roman" w:hAnsi="Times New Roman"/>
          <w:i/>
          <w:iCs/>
          <w:sz w:val="22"/>
          <w:szCs w:val="22"/>
        </w:rPr>
        <w:t xml:space="preserve">Proceedings of the 2024 CHI Conference on Human Factors in Computing Systems</w:t>
      </w:r>
      <w:r>
        <w:rPr>
          <w:rFonts w:ascii="Times New Roman" w:cs="Times New Roman" w:eastAsia="Times New Roman" w:hAnsi="Times New Roman"/>
          <w:sz w:val="22"/>
          <w:szCs w:val="22"/>
        </w:rPr>
        <w:t xml:space="preserve"> (pp. 1–17). Association for Computing Machinery. https://doi.org/10.1145/3613904.3642459</w:t>
      </w:r>
    </w:p>
    <w:p>
      <w:pPr>
        <w:spacing w:after="100" w:line="264"/>
        <w:ind w:left="720" w:hanging="720"/>
      </w:pPr>
      <w:r>
        <w:rPr>
          <w:rFonts w:ascii="Times New Roman" w:cs="Times New Roman" w:eastAsia="Times New Roman" w:hAnsi="Times New Roman"/>
          <w:sz w:val="22"/>
          <w:szCs w:val="22"/>
        </w:rPr>
        <w:t xml:space="preserve">Sharp, B. (2010). </w:t>
      </w:r>
      <w:r>
        <w:rPr>
          <w:rFonts w:ascii="Times New Roman" w:cs="Times New Roman" w:eastAsia="Times New Roman" w:hAnsi="Times New Roman"/>
          <w:i/>
          <w:iCs/>
          <w:sz w:val="22"/>
          <w:szCs w:val="22"/>
        </w:rPr>
        <w:t xml:space="preserve">How brands grow: What marketers don't know</w:t>
      </w:r>
      <w:r>
        <w:rPr>
          <w:rFonts w:ascii="Times New Roman" w:cs="Times New Roman" w:eastAsia="Times New Roman" w:hAnsi="Times New Roman"/>
          <w:sz w:val="22"/>
          <w:szCs w:val="22"/>
        </w:rPr>
        <w:t xml:space="preserve">. Oxford University Press.</w:t>
      </w:r>
    </w:p>
    <w:p>
      <w:pPr>
        <w:spacing w:after="100" w:line="264"/>
        <w:ind w:left="720" w:hanging="720"/>
      </w:pPr>
      <w:r>
        <w:rPr>
          <w:rFonts w:ascii="Times New Roman" w:cs="Times New Roman" w:eastAsia="Times New Roman" w:hAnsi="Times New Roman"/>
          <w:sz w:val="22"/>
          <w:szCs w:val="22"/>
        </w:rPr>
        <w:t xml:space="preserve">Shocker, A. D., Ben-Akiva, M., Boccara, B., &amp; Nedungadi, P. (1991). Consideration set influences on consumer decision-making and choice: Issues, models, and suggestions. </w:t>
      </w:r>
      <w:r>
        <w:rPr>
          <w:rFonts w:ascii="Times New Roman" w:cs="Times New Roman" w:eastAsia="Times New Roman" w:hAnsi="Times New Roman"/>
          <w:i/>
          <w:iCs/>
          <w:sz w:val="22"/>
          <w:szCs w:val="22"/>
        </w:rPr>
        <w:t xml:space="preserve">Marketing Letters, 2</w:t>
      </w:r>
      <w:r>
        <w:rPr>
          <w:rFonts w:ascii="Times New Roman" w:cs="Times New Roman" w:eastAsia="Times New Roman" w:hAnsi="Times New Roman"/>
          <w:sz w:val="22"/>
          <w:szCs w:val="22"/>
        </w:rPr>
        <w:t xml:space="preserve">(3), 181–197. https://doi.org/10.1007/BF00554125</w:t>
      </w:r>
    </w:p>
    <w:p>
      <w:pPr>
        <w:spacing w:after="100" w:line="264"/>
        <w:ind w:left="720" w:hanging="720"/>
      </w:pPr>
      <w:r>
        <w:rPr>
          <w:rFonts w:ascii="Times New Roman" w:cs="Times New Roman" w:eastAsia="Times New Roman" w:hAnsi="Times New Roman"/>
          <w:sz w:val="22"/>
          <w:szCs w:val="22"/>
        </w:rPr>
        <w:t xml:space="preserve">Singh, J. (2025, October 27). OpenAI offers free ChatGPT Go for one year to all users in India. </w:t>
      </w:r>
      <w:r>
        <w:rPr>
          <w:rFonts w:ascii="Times New Roman" w:cs="Times New Roman" w:eastAsia="Times New Roman" w:hAnsi="Times New Roman"/>
          <w:i/>
          <w:iCs/>
          <w:sz w:val="22"/>
          <w:szCs w:val="22"/>
        </w:rPr>
        <w:t xml:space="preserve">TechCrunch</w:t>
      </w:r>
      <w:r>
        <w:rPr>
          <w:rFonts w:ascii="Times New Roman" w:cs="Times New Roman" w:eastAsia="Times New Roman" w:hAnsi="Times New Roman"/>
          <w:sz w:val="22"/>
          <w:szCs w:val="22"/>
        </w:rPr>
        <w:t xml:space="preserve">. https://techcrunch.com/2025/10/27/openai-offers-free-chatgpt-go-for-one-year-to-all-users-in-india/</w:t>
      </w:r>
    </w:p>
    <w:p>
      <w:pPr>
        <w:spacing w:after="100" w:line="264"/>
        <w:ind w:left="720" w:hanging="720"/>
      </w:pPr>
      <w:r>
        <w:rPr>
          <w:rFonts w:ascii="Times New Roman" w:cs="Times New Roman" w:eastAsia="Times New Roman" w:hAnsi="Times New Roman"/>
          <w:sz w:val="22"/>
          <w:szCs w:val="22"/>
        </w:rPr>
        <w:t xml:space="preserve">Srivastava, S. (2026, February 27). India's D2C journey: After a rapid scale-up, why it's now all about discipline. </w:t>
      </w:r>
      <w:r>
        <w:rPr>
          <w:rFonts w:ascii="Times New Roman" w:cs="Times New Roman" w:eastAsia="Times New Roman" w:hAnsi="Times New Roman"/>
          <w:i/>
          <w:iCs/>
          <w:sz w:val="22"/>
          <w:szCs w:val="22"/>
        </w:rPr>
        <w:t xml:space="preserve">Forbes India</w:t>
      </w:r>
      <w:r>
        <w:rPr>
          <w:rFonts w:ascii="Times New Roman" w:cs="Times New Roman" w:eastAsia="Times New Roman" w:hAnsi="Times New Roman"/>
          <w:sz w:val="22"/>
          <w:szCs w:val="22"/>
        </w:rPr>
        <w:t xml:space="preserve">. https://www.forbesindia.com/article/enterprise/startups/indias-d2c-journey-after-a-rapid-scale-up-why-its-now-all-about-discipline/2991796/1</w:t>
      </w:r>
    </w:p>
    <w:p>
      <w:pPr>
        <w:spacing w:after="100" w:line="264"/>
        <w:ind w:left="720" w:hanging="720"/>
      </w:pPr>
      <w:r>
        <w:rPr>
          <w:rFonts w:ascii="Times New Roman" w:cs="Times New Roman" w:eastAsia="Times New Roman" w:hAnsi="Times New Roman"/>
          <w:sz w:val="22"/>
          <w:szCs w:val="22"/>
        </w:rPr>
        <w:t xml:space="preserve">Ursu, R. M. (2018). The power of rankings: Quantifying the effect of rankings on online consumer search and purchase decisions. </w:t>
      </w:r>
      <w:r>
        <w:rPr>
          <w:rFonts w:ascii="Times New Roman" w:cs="Times New Roman" w:eastAsia="Times New Roman" w:hAnsi="Times New Roman"/>
          <w:i/>
          <w:iCs/>
          <w:sz w:val="22"/>
          <w:szCs w:val="22"/>
        </w:rPr>
        <w:t xml:space="preserve">Marketing Science, 37</w:t>
      </w:r>
      <w:r>
        <w:rPr>
          <w:rFonts w:ascii="Times New Roman" w:cs="Times New Roman" w:eastAsia="Times New Roman" w:hAnsi="Times New Roman"/>
          <w:sz w:val="22"/>
          <w:szCs w:val="22"/>
        </w:rPr>
        <w:t xml:space="preserve">(4), 530–552. https://doi.org/10.1287/mksc.2017.1072</w:t>
      </w:r>
    </w:p>
    <w:p>
      <w:pPr>
        <w:spacing w:after="100" w:line="264"/>
        <w:ind w:left="720" w:hanging="720"/>
      </w:pPr>
      <w:r>
        <w:rPr>
          <w:rFonts w:ascii="Times New Roman" w:cs="Times New Roman" w:eastAsia="Times New Roman" w:hAnsi="Times New Roman"/>
          <w:sz w:val="22"/>
          <w:szCs w:val="22"/>
        </w:rPr>
        <w:t xml:space="preserve">Wen, Y., Zhang, N., Yuan, H., Chen, X., Zhang, H., &amp; Guo, H. (2026). </w:t>
      </w:r>
      <w:r>
        <w:rPr>
          <w:rFonts w:ascii="Times New Roman" w:cs="Times New Roman" w:eastAsia="Times New Roman" w:hAnsi="Times New Roman"/>
          <w:i/>
          <w:iCs/>
          <w:sz w:val="22"/>
          <w:szCs w:val="22"/>
        </w:rPr>
        <w:t xml:space="preserve">Position: Generative engine optimization creates underexamined risks, governance must target concentration, disclosure, and academic blind spots</w:t>
      </w:r>
      <w:r>
        <w:rPr>
          <w:rFonts w:ascii="Times New Roman" w:cs="Times New Roman" w:eastAsia="Times New Roman" w:hAnsi="Times New Roman"/>
          <w:sz w:val="22"/>
          <w:szCs w:val="22"/>
        </w:rPr>
        <w:t xml:space="preserve"> (arXiv:2606.12439). arXiv. https://doi.org/10.48550/arXiv.2606.12439</w:t>
      </w:r>
    </w:p>
    <w:p>
      <w:pPr>
        <w:spacing w:after="100" w:line="264"/>
        <w:ind w:left="720" w:hanging="720"/>
      </w:pPr>
      <w:r>
        <w:rPr>
          <w:rFonts w:ascii="Times New Roman" w:cs="Times New Roman" w:eastAsia="Times New Roman" w:hAnsi="Times New Roman"/>
          <w:sz w:val="22"/>
          <w:szCs w:val="22"/>
        </w:rPr>
        <w:t xml:space="preserve">Xiao, B., &amp; Benbasat, I. (2007). E-commerce product recommendation agents: Use, characteristics, and impact. </w:t>
      </w:r>
      <w:r>
        <w:rPr>
          <w:rFonts w:ascii="Times New Roman" w:cs="Times New Roman" w:eastAsia="Times New Roman" w:hAnsi="Times New Roman"/>
          <w:i/>
          <w:iCs/>
          <w:sz w:val="22"/>
          <w:szCs w:val="22"/>
        </w:rPr>
        <w:t xml:space="preserve">MIS Quarterly, 31</w:t>
      </w:r>
      <w:r>
        <w:rPr>
          <w:rFonts w:ascii="Times New Roman" w:cs="Times New Roman" w:eastAsia="Times New Roman" w:hAnsi="Times New Roman"/>
          <w:sz w:val="22"/>
          <w:szCs w:val="22"/>
        </w:rPr>
        <w:t xml:space="preserve">(1), 137–209. https://doi.org/10.2307/25148784</w:t>
      </w:r>
    </w:p>
    <w:p>
      <w:pPr>
        <w:spacing w:after="100" w:line="264"/>
        <w:ind w:left="720" w:hanging="720"/>
      </w:pPr>
      <w:r>
        <w:rPr>
          <w:rFonts w:ascii="Times New Roman" w:cs="Times New Roman" w:eastAsia="Times New Roman" w:hAnsi="Times New Roman"/>
          <w:sz w:val="22"/>
          <w:szCs w:val="22"/>
        </w:rPr>
        <w:t xml:space="preserve">Yoo, K., Haenlein, M., &amp; Hewett, K. (2025). A whole new world, a new fantastic point of view: Charting unexplored territories in consumer research with generative artificial intelligence. </w:t>
      </w:r>
      <w:r>
        <w:rPr>
          <w:rFonts w:ascii="Times New Roman" w:cs="Times New Roman" w:eastAsia="Times New Roman" w:hAnsi="Times New Roman"/>
          <w:i/>
          <w:iCs/>
          <w:sz w:val="22"/>
          <w:szCs w:val="22"/>
        </w:rPr>
        <w:t xml:space="preserve">Journal of the Academy of Marketing Science, 53</w:t>
      </w:r>
      <w:r>
        <w:rPr>
          <w:rFonts w:ascii="Times New Roman" w:cs="Times New Roman" w:eastAsia="Times New Roman" w:hAnsi="Times New Roman"/>
          <w:sz w:val="22"/>
          <w:szCs w:val="22"/>
        </w:rPr>
        <w:t xml:space="preserve">(3), 723–759. https://doi.org/10.1007/s11747-025-01097-2</w:t>
      </w:r>
    </w:p>
    <w:p>
      <w:pPr>
        <w:spacing w:after="100" w:line="264"/>
        <w:ind w:left="720" w:hanging="720"/>
      </w:pPr>
      <w:r>
        <w:rPr>
          <w:rFonts w:ascii="Times New Roman" w:cs="Times New Roman" w:eastAsia="Times New Roman" w:hAnsi="Times New Roman"/>
          <w:sz w:val="22"/>
          <w:szCs w:val="22"/>
        </w:rPr>
        <w:t xml:space="preserve">Żatuchin, D. (2026a). </w:t>
      </w:r>
      <w:r>
        <w:rPr>
          <w:rFonts w:ascii="Times New Roman" w:cs="Times New Roman" w:eastAsia="Times New Roman" w:hAnsi="Times New Roman"/>
          <w:i/>
          <w:iCs/>
          <w:sz w:val="22"/>
          <w:szCs w:val="22"/>
        </w:rPr>
        <w:t xml:space="preserve">How large language models source brand reputation across languages and markets</w:t>
      </w:r>
      <w:r>
        <w:rPr>
          <w:rFonts w:ascii="Times New Roman" w:cs="Times New Roman" w:eastAsia="Times New Roman" w:hAnsi="Times New Roman"/>
          <w:sz w:val="22"/>
          <w:szCs w:val="22"/>
        </w:rPr>
        <w:t xml:space="preserve"> (arXiv:2606.25787). arXiv. https://doi.org/10.48550/arXiv.2606.25787</w:t>
      </w:r>
    </w:p>
    <w:p>
      <w:pPr>
        <w:spacing w:after="100" w:line="264"/>
        <w:ind w:left="720" w:hanging="720"/>
      </w:pPr>
      <w:r>
        <w:rPr>
          <w:rFonts w:ascii="Times New Roman" w:cs="Times New Roman" w:eastAsia="Times New Roman" w:hAnsi="Times New Roman"/>
          <w:sz w:val="22"/>
          <w:szCs w:val="22"/>
        </w:rPr>
        <w:t xml:space="preserve">Żatuchin, D. (2026b). </w:t>
      </w:r>
      <w:r>
        <w:rPr>
          <w:rFonts w:ascii="Times New Roman" w:cs="Times New Roman" w:eastAsia="Times New Roman" w:hAnsi="Times New Roman"/>
          <w:i/>
          <w:iCs/>
          <w:sz w:val="22"/>
          <w:szCs w:val="22"/>
        </w:rPr>
        <w:t xml:space="preserve">The language of the question selects the market: Query language and exit IP as separable factors in commercial recommendations from a generative search interface</w:t>
      </w:r>
      <w:r>
        <w:rPr>
          <w:rFonts w:ascii="Times New Roman" w:cs="Times New Roman" w:eastAsia="Times New Roman" w:hAnsi="Times New Roman"/>
          <w:sz w:val="22"/>
          <w:szCs w:val="22"/>
        </w:rPr>
        <w:t xml:space="preserve"> (arXiv:2608.30052). arXiv. https://doi.org/10.48550/arXiv.2608.30052</w:t>
      </w:r>
    </w:p>
    <w:p>
      <w:pPr>
        <w:pStyle w:val="Heading1"/>
        <w:keepNext/>
        <w:spacing w:after="140" w:before="360"/>
      </w:pPr>
      <w:r>
        <w:rPr>
          <w:rFonts w:ascii="Times New Roman" w:cs="Times New Roman" w:eastAsia="Times New Roman" w:hAnsi="Times New Roman"/>
          <w:b/>
          <w:bCs/>
          <w:color w:val="000000"/>
          <w:sz w:val="26"/>
          <w:szCs w:val="26"/>
        </w:rPr>
        <w:t xml:space="preserve">ADDITIONAL READING</w:t>
      </w:r>
    </w:p>
    <w:p>
      <w:pPr>
        <w:spacing w:after="100" w:line="264"/>
        <w:ind w:left="720" w:hanging="720"/>
      </w:pPr>
      <w:r>
        <w:rPr>
          <w:rFonts w:ascii="Times New Roman" w:cs="Times New Roman" w:eastAsia="Times New Roman" w:hAnsi="Times New Roman"/>
          <w:sz w:val="22"/>
          <w:szCs w:val="22"/>
        </w:rPr>
        <w:t xml:space="preserve">Bruns, D., Kopka, J. F., Borgmann, L., Prior, S., &amp; Langner, T. (2025). Measuring gaining and holding attention to social media ads with viewport logging: A validation study using mobile eye-tracking. </w:t>
      </w:r>
      <w:r>
        <w:rPr>
          <w:rFonts w:ascii="Times New Roman" w:cs="Times New Roman" w:eastAsia="Times New Roman" w:hAnsi="Times New Roman"/>
          <w:i/>
          <w:iCs/>
          <w:sz w:val="22"/>
          <w:szCs w:val="22"/>
        </w:rPr>
        <w:t xml:space="preserve">Journal of Advertising, 54</w:t>
      </w:r>
      <w:r>
        <w:rPr>
          <w:rFonts w:ascii="Times New Roman" w:cs="Times New Roman" w:eastAsia="Times New Roman" w:hAnsi="Times New Roman"/>
          <w:sz w:val="22"/>
          <w:szCs w:val="22"/>
        </w:rPr>
        <w:t xml:space="preserve">(5), 655–672. https://doi.org/10.1080/00913367.2025.2524186</w:t>
      </w:r>
    </w:p>
    <w:p>
      <w:pPr>
        <w:spacing w:after="100" w:line="264"/>
        <w:ind w:left="720" w:hanging="720"/>
      </w:pPr>
      <w:r>
        <w:rPr>
          <w:rFonts w:ascii="Times New Roman" w:cs="Times New Roman" w:eastAsia="Times New Roman" w:hAnsi="Times New Roman"/>
          <w:sz w:val="22"/>
          <w:szCs w:val="22"/>
        </w:rPr>
        <w:t xml:space="preserve">Hayes, A. F., &amp; Krippendorff, K. (2007). Answering the call for a standard reliability measure for coding data. </w:t>
      </w:r>
      <w:r>
        <w:rPr>
          <w:rFonts w:ascii="Times New Roman" w:cs="Times New Roman" w:eastAsia="Times New Roman" w:hAnsi="Times New Roman"/>
          <w:i/>
          <w:iCs/>
          <w:sz w:val="22"/>
          <w:szCs w:val="22"/>
        </w:rPr>
        <w:t xml:space="preserve">Communication Methods and Measures, 1</w:t>
      </w:r>
      <w:r>
        <w:rPr>
          <w:rFonts w:ascii="Times New Roman" w:cs="Times New Roman" w:eastAsia="Times New Roman" w:hAnsi="Times New Roman"/>
          <w:sz w:val="22"/>
          <w:szCs w:val="22"/>
        </w:rPr>
        <w:t xml:space="preserve">(1), 77–89. https://doi.org/10.1080/19312450709336664</w:t>
      </w:r>
    </w:p>
    <w:p>
      <w:pPr>
        <w:spacing w:after="100" w:line="264"/>
        <w:ind w:left="720" w:hanging="720"/>
      </w:pPr>
      <w:r>
        <w:rPr>
          <w:rFonts w:ascii="Times New Roman" w:cs="Times New Roman" w:eastAsia="Times New Roman" w:hAnsi="Times New Roman"/>
          <w:sz w:val="22"/>
          <w:szCs w:val="22"/>
        </w:rPr>
        <w:t xml:space="preserve">Liu, N. F., Lin, K., Hewitt, J., Paranjape, A., Bevilacqua, M., Petroni, F., &amp; Liang, P. (2024). Lost in the middle: How language models use long contexts. </w:t>
      </w:r>
      <w:r>
        <w:rPr>
          <w:rFonts w:ascii="Times New Roman" w:cs="Times New Roman" w:eastAsia="Times New Roman" w:hAnsi="Times New Roman"/>
          <w:i/>
          <w:iCs/>
          <w:sz w:val="22"/>
          <w:szCs w:val="22"/>
        </w:rPr>
        <w:t xml:space="preserve">Transactions of the Association for Computational Linguistics, 12</w:t>
      </w:r>
      <w:r>
        <w:rPr>
          <w:rFonts w:ascii="Times New Roman" w:cs="Times New Roman" w:eastAsia="Times New Roman" w:hAnsi="Times New Roman"/>
          <w:sz w:val="22"/>
          <w:szCs w:val="22"/>
        </w:rPr>
        <w:t xml:space="preserve">, 157–173. https://doi.org/10.1162/tacl_a_00638</w:t>
      </w:r>
    </w:p>
    <w:p>
      <w:pPr>
        <w:spacing w:after="100" w:line="264"/>
        <w:ind w:left="720" w:hanging="720"/>
      </w:pPr>
      <w:r>
        <w:rPr>
          <w:rFonts w:ascii="Times New Roman" w:cs="Times New Roman" w:eastAsia="Times New Roman" w:hAnsi="Times New Roman"/>
          <w:sz w:val="22"/>
          <w:szCs w:val="22"/>
        </w:rPr>
        <w:t xml:space="preserve">Simonson, I., &amp; Rosen, E. (2014). </w:t>
      </w:r>
      <w:r>
        <w:rPr>
          <w:rFonts w:ascii="Times New Roman" w:cs="Times New Roman" w:eastAsia="Times New Roman" w:hAnsi="Times New Roman"/>
          <w:i/>
          <w:iCs/>
          <w:sz w:val="22"/>
          <w:szCs w:val="22"/>
        </w:rPr>
        <w:t xml:space="preserve">Absolute value: What really influences customers in the age of (nearly) perfect information</w:t>
      </w:r>
      <w:r>
        <w:rPr>
          <w:rFonts w:ascii="Times New Roman" w:cs="Times New Roman" w:eastAsia="Times New Roman" w:hAnsi="Times New Roman"/>
          <w:sz w:val="22"/>
          <w:szCs w:val="22"/>
        </w:rPr>
        <w:t xml:space="preserve">. HarperBusiness.</w:t>
      </w:r>
    </w:p>
    <w:p>
      <w:pPr>
        <w:pStyle w:val="Heading1"/>
        <w:keepNext/>
        <w:spacing w:after="140" w:before="360"/>
      </w:pPr>
      <w:r>
        <w:rPr>
          <w:rFonts w:ascii="Times New Roman" w:cs="Times New Roman" w:eastAsia="Times New Roman" w:hAnsi="Times New Roman"/>
          <w:b/>
          <w:bCs/>
          <w:color w:val="000000"/>
          <w:sz w:val="26"/>
          <w:szCs w:val="26"/>
        </w:rPr>
        <w:t xml:space="preserve">KEY TERMS AND DEFINITIONS</w:t>
      </w:r>
    </w:p>
    <w:p>
      <w:pPr>
        <w:spacing w:after="160" w:line="300"/>
        <w:jc w:val="both"/>
      </w:pPr>
      <w:r>
        <w:rPr>
          <w:rFonts w:ascii="Times New Roman" w:cs="Times New Roman" w:eastAsia="Times New Roman" w:hAnsi="Times New Roman"/>
          <w:b/>
          <w:bCs/>
          <w:sz w:val="24"/>
          <w:szCs w:val="24"/>
        </w:rPr>
        <w:t xml:space="preserve">Generative Brand Equity:</w:t>
      </w:r>
      <w:r>
        <w:rPr>
          <w:rFonts w:ascii="Times New Roman" w:cs="Times New Roman" w:eastAsia="Times New Roman" w:hAnsi="Times New Roman"/>
          <w:sz w:val="24"/>
          <w:szCs w:val="24"/>
        </w:rPr>
        <w:t xml:space="preserve"> The differential visibility and representation of a brand in the outputs of generative AI systems, relative to competing brands in its category, in response to category-relevant shopper queries.</w:t>
      </w:r>
    </w:p>
    <w:p>
      <w:pPr>
        <w:spacing w:after="160" w:line="300"/>
        <w:jc w:val="both"/>
      </w:pPr>
      <w:r>
        <w:rPr>
          <w:rFonts w:ascii="Times New Roman" w:cs="Times New Roman" w:eastAsia="Times New Roman" w:hAnsi="Times New Roman"/>
          <w:b/>
          <w:bCs/>
          <w:sz w:val="24"/>
          <w:szCs w:val="24"/>
        </w:rPr>
        <w:t xml:space="preserve">Model Awareness:</w:t>
      </w:r>
      <w:r>
        <w:rPr>
          <w:rFonts w:ascii="Times New Roman" w:cs="Times New Roman" w:eastAsia="Times New Roman" w:hAnsi="Times New Roman"/>
          <w:sz w:val="24"/>
          <w:szCs w:val="24"/>
        </w:rPr>
        <w:t xml:space="preserve"> The share of relevant AI answers that retrieve a brand when the question does not name it; the generative counterpart of unaided recall.</w:t>
      </w:r>
    </w:p>
    <w:p>
      <w:pPr>
        <w:spacing w:after="160" w:line="300"/>
        <w:jc w:val="both"/>
      </w:pPr>
      <w:r>
        <w:rPr>
          <w:rFonts w:ascii="Times New Roman" w:cs="Times New Roman" w:eastAsia="Times New Roman" w:hAnsi="Times New Roman"/>
          <w:b/>
          <w:bCs/>
          <w:sz w:val="24"/>
          <w:szCs w:val="24"/>
        </w:rPr>
        <w:t xml:space="preserve">Model Prominence:</w:t>
      </w:r>
      <w:r>
        <w:rPr>
          <w:rFonts w:ascii="Times New Roman" w:cs="Times New Roman" w:eastAsia="Times New Roman" w:hAnsi="Times New Roman"/>
          <w:sz w:val="24"/>
          <w:szCs w:val="24"/>
        </w:rPr>
        <w:t xml:space="preserve"> Where a brand appears within an AI answer, captured by its order of mention and by whether it is presented as the single best choice.</w:t>
      </w:r>
    </w:p>
    <w:p>
      <w:pPr>
        <w:spacing w:after="160" w:line="300"/>
        <w:jc w:val="both"/>
      </w:pPr>
      <w:r>
        <w:rPr>
          <w:rFonts w:ascii="Times New Roman" w:cs="Times New Roman" w:eastAsia="Times New Roman" w:hAnsi="Times New Roman"/>
          <w:b/>
          <w:bCs/>
          <w:sz w:val="24"/>
          <w:szCs w:val="24"/>
        </w:rPr>
        <w:t xml:space="preserve">Model Image:</w:t>
      </w:r>
      <w:r>
        <w:rPr>
          <w:rFonts w:ascii="Times New Roman" w:cs="Times New Roman" w:eastAsia="Times New Roman" w:hAnsi="Times New Roman"/>
          <w:sz w:val="24"/>
          <w:szCs w:val="24"/>
        </w:rPr>
        <w:t xml:space="preserve"> The attributes, benefits, price cues and tone that an AI system attaches to a brand, assessed against the brand's own positioning and against verifiable product facts.</w:t>
      </w:r>
    </w:p>
    <w:p>
      <w:pPr>
        <w:spacing w:after="160" w:line="300"/>
        <w:jc w:val="both"/>
      </w:pPr>
      <w:r>
        <w:rPr>
          <w:rFonts w:ascii="Times New Roman" w:cs="Times New Roman" w:eastAsia="Times New Roman" w:hAnsi="Times New Roman"/>
          <w:b/>
          <w:bCs/>
          <w:sz w:val="24"/>
          <w:szCs w:val="24"/>
        </w:rPr>
        <w:t xml:space="preserve">Model Credibility:</w:t>
      </w:r>
      <w:r>
        <w:rPr>
          <w:rFonts w:ascii="Times New Roman" w:cs="Times New Roman" w:eastAsia="Times New Roman" w:hAnsi="Times New Roman"/>
          <w:sz w:val="24"/>
          <w:szCs w:val="24"/>
        </w:rPr>
        <w:t xml:space="preserve"> The kinds of sources an AI system displays in support of what it says about a brand, from the brand's own website to marketplaces, reviews, press, reference works and video.</w:t>
      </w:r>
    </w:p>
    <w:p>
      <w:pPr>
        <w:spacing w:after="160" w:line="300"/>
        <w:jc w:val="both"/>
      </w:pPr>
      <w:r>
        <w:rPr>
          <w:rFonts w:ascii="Times New Roman" w:cs="Times New Roman" w:eastAsia="Times New Roman" w:hAnsi="Times New Roman"/>
          <w:b/>
          <w:bCs/>
          <w:sz w:val="24"/>
          <w:szCs w:val="24"/>
        </w:rPr>
        <w:t xml:space="preserve">Share of Model:</w:t>
      </w:r>
      <w:r>
        <w:rPr>
          <w:rFonts w:ascii="Times New Roman" w:cs="Times New Roman" w:eastAsia="Times New Roman" w:hAnsi="Times New Roman"/>
          <w:sz w:val="24"/>
          <w:szCs w:val="24"/>
        </w:rPr>
        <w:t xml:space="preserve"> A brand's mentions as a proportion of all mentions of a defined set of competing brands across a defined set of AI answers.</w:t>
      </w:r>
    </w:p>
    <w:p>
      <w:pPr>
        <w:spacing w:after="160" w:line="300"/>
        <w:jc w:val="both"/>
      </w:pPr>
      <w:r>
        <w:rPr>
          <w:rFonts w:ascii="Times New Roman" w:cs="Times New Roman" w:eastAsia="Times New Roman" w:hAnsi="Times New Roman"/>
          <w:b/>
          <w:bCs/>
          <w:sz w:val="24"/>
          <w:szCs w:val="24"/>
        </w:rPr>
        <w:t xml:space="preserve">Generative Engine Optimisation (GEO):</w:t>
      </w:r>
      <w:r>
        <w:rPr>
          <w:rFonts w:ascii="Times New Roman" w:cs="Times New Roman" w:eastAsia="Times New Roman" w:hAnsi="Times New Roman"/>
          <w:sz w:val="24"/>
          <w:szCs w:val="24"/>
        </w:rPr>
        <w:t xml:space="preserve"> Practices intended to raise the likelihood that content is retrieved, cited or reflected in answers produced by generative AI systems.</w:t>
      </w:r>
    </w:p>
    <w:p>
      <w:pPr>
        <w:spacing w:after="160" w:line="300"/>
        <w:jc w:val="both"/>
      </w:pPr>
      <w:r>
        <w:rPr>
          <w:rFonts w:ascii="Times New Roman" w:cs="Times New Roman" w:eastAsia="Times New Roman" w:hAnsi="Times New Roman"/>
          <w:b/>
          <w:bCs/>
          <w:sz w:val="24"/>
          <w:szCs w:val="24"/>
        </w:rPr>
        <w:t xml:space="preserve">Prompt-Based Audit:</w:t>
      </w:r>
      <w:r>
        <w:rPr>
          <w:rFonts w:ascii="Times New Roman" w:cs="Times New Roman" w:eastAsia="Times New Roman" w:hAnsi="Times New Roman"/>
          <w:sz w:val="24"/>
          <w:szCs w:val="24"/>
        </w:rPr>
        <w:t xml:space="preserve"> A research design in which a frozen set of prompts is submitted repeatedly to one or more AI systems under documented conditions, and the outputs are coded and analysed.</w:t>
      </w:r>
    </w:p>
    <w:p>
      <w:pPr>
        <w:spacing w:after="160" w:line="300"/>
        <w:jc w:val="both"/>
      </w:pPr>
      <w:r>
        <w:rPr>
          <w:rFonts w:ascii="Times New Roman" w:cs="Times New Roman" w:eastAsia="Times New Roman" w:hAnsi="Times New Roman"/>
          <w:b/>
          <w:bCs/>
          <w:sz w:val="24"/>
          <w:szCs w:val="24"/>
        </w:rPr>
        <w:t xml:space="preserve">Run-to-Run Stability:</w:t>
      </w:r>
      <w:r>
        <w:rPr>
          <w:rFonts w:ascii="Times New Roman" w:cs="Times New Roman" w:eastAsia="Times New Roman" w:hAnsi="Times New Roman"/>
          <w:sz w:val="24"/>
          <w:szCs w:val="24"/>
        </w:rPr>
        <w:t xml:space="preserve"> The consistency of a visibility measure when the same prompt is submitted repeatedly to the same system, measured here as the mean pairwise Jaccard similarity of the brands named.</w:t>
      </w:r>
    </w:p>
    <w:p>
      <w:pPr>
        <w:spacing w:after="160" w:line="300"/>
        <w:jc w:val="both"/>
      </w:pPr>
      <w:r>
        <w:rPr>
          <w:rFonts w:ascii="Times New Roman" w:cs="Times New Roman" w:eastAsia="Times New Roman" w:hAnsi="Times New Roman"/>
          <w:b/>
          <w:bCs/>
          <w:sz w:val="24"/>
          <w:szCs w:val="24"/>
        </w:rPr>
        <w:t xml:space="preserve">D2C-Origin Brand:</w:t>
      </w:r>
      <w:r>
        <w:rPr>
          <w:rFonts w:ascii="Times New Roman" w:cs="Times New Roman" w:eastAsia="Times New Roman" w:hAnsi="Times New Roman"/>
          <w:sz w:val="24"/>
          <w:szCs w:val="24"/>
        </w:rPr>
        <w:t xml:space="preserve"> A brand that built its business first through its own website and online marketplaces rather than through traditional distribution and mass media, whatever its current ownership.</w:t>
      </w:r>
    </w:p>
    <w:p>
      <w:pPr>
        <w:pStyle w:val="Heading1"/>
        <w:keepNext/>
        <w:spacing w:after="140" w:before="360"/>
      </w:pPr>
      <w:r>
        <w:rPr>
          <w:rFonts w:ascii="Times New Roman" w:cs="Times New Roman" w:eastAsia="Times New Roman" w:hAnsi="Times New Roman"/>
          <w:b/>
          <w:bCs/>
          <w:color w:val="000000"/>
          <w:sz w:val="26"/>
          <w:szCs w:val="26"/>
        </w:rPr>
        <w:t xml:space="preserve">APPENDIX A: PROMPT SET</w:t>
      </w:r>
    </w:p>
    <w:p>
      <w:pPr>
        <w:keepNext/>
        <w:spacing w:after="80" w:before="200"/>
      </w:pPr>
      <w:r>
        <w:rPr>
          <w:rFonts w:ascii="Times New Roman" w:cs="Times New Roman" w:eastAsia="Times New Roman" w:hAnsi="Times New Roman"/>
          <w:b/>
          <w:bCs/>
          <w:sz w:val="21"/>
          <w:szCs w:val="21"/>
        </w:rPr>
        <w:t xml:space="preserve">Table A1.</w:t>
      </w:r>
      <w:r>
        <w:rPr>
          <w:rFonts w:ascii="Times New Roman" w:cs="Times New Roman" w:eastAsia="Times New Roman" w:hAnsi="Times New Roman"/>
          <w:sz w:val="21"/>
          <w:szCs w:val="21"/>
        </w:rPr>
        <w:t xml:space="preserve"> Prompts submitted to all four platforms (frozen before collection)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38"/>
        <w:gridCol w:w="2005"/>
        <w:gridCol w:w="5683"/>
      </w:tblGrid>
      <w:tr>
        <w:trPr>
          <w:cantSplit/>
          <w:tblHeader/>
        </w:trPr>
        <w:tc>
          <w:tcPr>
            <w:tcW w:type="dxa" w:w="1338"/>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ID</w:t>
            </w:r>
          </w:p>
        </w:tc>
        <w:tc>
          <w:tcPr>
            <w:tcW w:type="dxa" w:w="2005"/>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Type</w:t>
            </w:r>
          </w:p>
        </w:tc>
        <w:tc>
          <w:tcPr>
            <w:tcW w:type="dxa" w:w="5683"/>
            <w:tcBorders>
              <w:top w:val="single" w:color="000000" w:sz="4"/>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b/>
                <w:bCs/>
                <w:sz w:val="19"/>
                <w:szCs w:val="19"/>
              </w:rPr>
              <w:t xml:space="preserve">Prompt (submitted verbatim)</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SK-G01</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are the best face serums available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SK-G02</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face serum should I buy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SK-G03</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Suggest a good moisturiser for daily use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SK-G04</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is the best vitamin C serum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SK-G05</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is the best niacinamide serum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SK-G06</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skincare brands are good for serums and moisturisers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SK-G07</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are the top-rated hyaluronic acid serums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SK-G08</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are the most popular face moisturisers in India right now?</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SK-G09</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brand makes the best face serum for beginners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SK-G10</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is a good night cream or night moisturiser available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SK-U01</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serum is good for oily and acne-prone skin?</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SK-U02</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 have dry skin and live in Delhi. Which moisturiser should I use in winter?</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SK-U03</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is the best moisturiser for sensitive skin that does not cause breakouts?</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SK-U04</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face serum helps with pigmentation and dark spots on Indian skin?</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SK-U05</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Suggest a lightweight moisturiser for humid weather in Mumbai.</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SK-U06</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serum should I use for early signs of ageing in my late 20s?</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SK-U07</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moisturiser is good for combination skin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SK-U08</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Recommend a gentle face serum for a skincare beginner with sensitive skin.</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SK-P01</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Best face serum under Rs. 500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SK-P02</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Good moisturiser under Rs. 300 for daily use</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SK-P03</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Best vitamin C serum under Rs. 700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SK-P04</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face serums under Rs. 1000 are worth buying?</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SK-P05</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Best moisturiser under Rs. 1500 in India for dry skin</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SK-P06</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Best premium face serum under Rs. 2500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SK-C01</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Is Minimalist better than Cetaphil for sensitive skin?</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SK-C02</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Neutrogena or Minimalist: which moisturiser is better for oily skin?</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SK-C03</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The Derma Co vs Neutrogena: which is better for acne-prone skin?</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SK-C04</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Is Lakmé better than The Derma Co for pigmentation?</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SK-C05</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Plum vs Lakmé: which face serum is better for glowing skin?</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SK-C06</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Should I buy Cetaphil or Plum moisturiser for dry skin?</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AU-G01</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are the best wireless earbuds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AU-G02</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TWS earbuds brand is best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AU-G03</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Suggest good Bluetooth earbuds for daily use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AU-G04</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are the top-rated truly wireless earbuds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AU-G05</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earbuds should I buy in India right now?</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AU-G06</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brands make reliable wireless earbuds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AU-G07</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earbuds have the best sound quality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AU-G08</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are the best noise cancelling earbuds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AU-G09</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Recommend some value for money earbuds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AU-G10</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Generic category</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are the most popular earbuds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AU-U01</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earbuds are best for the gym and running?</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AU-U02</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 take a lot of work calls on the Mumbai local train. Which earbuds have the best mic?</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AU-U03</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are the best earbuds for mobile gaming with low latency?</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AU-U04</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earbuds are good for long flights with noise cancellation?</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AU-U05</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Recommend earbuds for a college student who listens to music all day.</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AU-U06</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What are the best earbuds for watching movies and web series on my phone?</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AU-U07</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earbuds have the longest battery life for travel?</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AU-U08</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Use case</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Suggest comfortable earbuds for small ears that do not fall out.</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AU-P01</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Best earbuds under Rs. 1000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AU-P02</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Best wireless earbuds under Rs. 2000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AU-P03</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Best TWS earbuds with ANC under Rs. 3000</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AU-P04</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Which earbuds under Rs. 5000 are worth buying?</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AU-P05</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Best earbuds under Rs. 10000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AU-P06</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Price band</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Best premium earbuds under Rs. 20000 in India</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AU-C01</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Is boAt better than Sony for earbuds?</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AU-C02</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JBL or boAt earbuds: which should I buy?</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AU-C03</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Noise vs JBL earbuds: which has better sound?</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AU-C04</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Samsung Galaxy Buds or Noise earbuds: which is better value?</w:t>
            </w:r>
          </w:p>
        </w:tc>
      </w:tr>
      <w:tr>
        <w:trPr>
          <w:cantSplit/>
          <w:tblHeader w:val="off"/>
        </w:trPr>
        <w:tc>
          <w:tcPr>
            <w:tcW w:type="dxa" w:w="1338"/>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AU-C05</w:t>
            </w:r>
          </w:p>
        </w:tc>
        <w:tc>
          <w:tcPr>
            <w:tcW w:type="dxa" w:w="2005"/>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5683"/>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Boult vs Samsung earbuds: which is more reliable?</w:t>
            </w:r>
          </w:p>
        </w:tc>
      </w:tr>
      <w:tr>
        <w:trPr>
          <w:cantSplit/>
          <w:tblHeader w:val="off"/>
        </w:trPr>
        <w:tc>
          <w:tcPr>
            <w:tcW w:type="dxa" w:w="1338"/>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AU-C06</w:t>
            </w:r>
          </w:p>
        </w:tc>
        <w:tc>
          <w:tcPr>
            <w:tcW w:type="dxa" w:w="2005"/>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Comparison</w:t>
            </w:r>
          </w:p>
        </w:tc>
        <w:tc>
          <w:tcPr>
            <w:tcW w:type="dxa" w:w="5683"/>
            <w:tcBorders>
              <w:top w:val="none" w:color="FFFFFF" w:sz="0"/>
              <w:left w:val="none" w:color="FFFFFF" w:sz="0"/>
              <w:bottom w:val="single" w:color="000000" w:sz="4"/>
              <w:right w:val="none" w:color="FFFFFF" w:sz="0"/>
            </w:tcBorders>
            <w:tcMar>
              <w:top w:type="dxa" w:w="30"/>
              <w:left w:type="dxa" w:w="70"/>
              <w:bottom w:type="dxa" w:w="30"/>
              <w:right w:type="dxa" w:w="70"/>
            </w:tcMar>
          </w:tcPr>
          <w:p>
            <w:pPr>
              <w:jc w:val="left"/>
            </w:pPr>
            <w:r>
              <w:rPr>
                <w:rFonts w:ascii="Times New Roman" w:cs="Times New Roman" w:eastAsia="Times New Roman" w:hAnsi="Times New Roman"/>
                <w:sz w:val="19"/>
                <w:szCs w:val="19"/>
              </w:rPr>
              <w:t xml:space="preserve">Sony or Boult: which earbuds are better for calls?</w:t>
            </w:r>
          </w:p>
        </w:tc>
      </w:tr>
    </w:tbl>
    <w:p>
      <w:pPr>
        <w:spacing w:after="200" w:before="60"/>
      </w:pPr>
      <w:r>
        <w:rPr>
          <w:rFonts w:ascii="Times New Roman" w:cs="Times New Roman" w:eastAsia="Times New Roman" w:hAnsi="Times New Roman"/>
          <w:i/>
          <w:iCs/>
          <w:sz w:val="18"/>
          <w:szCs w:val="18"/>
        </w:rPr>
        <w:t xml:space="preserve">Note.</w:t>
      </w:r>
      <w:r>
        <w:rPr>
          <w:rFonts w:ascii="Times New Roman" w:cs="Times New Roman" w:eastAsia="Times New Roman" w:hAnsi="Times New Roman"/>
          <w:sz w:val="18"/>
          <w:szCs w:val="18"/>
        </w:rPr>
        <w:t xml:space="preserve"> Each prompt was submitted five times to each platform as an independent request. Comparison prompts (SK-C and AU-C) are excluded from awareness and prominence measures.</w:t>
      </w:r>
    </w:p>
    <w:p>
      <w:pPr>
        <w:pStyle w:val="Heading1"/>
        <w:keepNext/>
        <w:spacing w:after="140" w:before="360"/>
      </w:pPr>
      <w:r>
        <w:rPr>
          <w:rFonts w:ascii="Times New Roman" w:cs="Times New Roman" w:eastAsia="Times New Roman" w:hAnsi="Times New Roman"/>
          <w:b/>
          <w:bCs/>
          <w:color w:val="000000"/>
          <w:sz w:val="26"/>
          <w:szCs w:val="26"/>
        </w:rPr>
        <w:t xml:space="preserve">DECLARATIONS</w:t>
      </w:r>
    </w:p>
    <w:p>
      <w:pPr>
        <w:spacing w:after="160" w:line="300"/>
        <w:jc w:val="both"/>
      </w:pPr>
      <w:r>
        <w:rPr>
          <w:rFonts w:ascii="Times New Roman" w:cs="Times New Roman" w:eastAsia="Times New Roman" w:hAnsi="Times New Roman"/>
          <w:b/>
          <w:bCs/>
          <w:sz w:val="24"/>
          <w:szCs w:val="24"/>
        </w:rPr>
        <w:t xml:space="preserve">Competing interests.</w:t>
      </w:r>
      <w:r>
        <w:rPr>
          <w:rFonts w:ascii="Times New Roman" w:cs="Times New Roman" w:eastAsia="Times New Roman" w:hAnsi="Times New Roman"/>
          <w:sz w:val="24"/>
          <w:szCs w:val="24"/>
        </w:rPr>
        <w:t xml:space="preserve"> The authors declare no competing interests. None of the authors has a commercial relationship with any brand, platform or service named in this chapter.</w:t>
      </w:r>
    </w:p>
    <w:p>
      <w:pPr>
        <w:spacing w:after="160" w:line="300"/>
        <w:jc w:val="both"/>
      </w:pPr>
      <w:r>
        <w:rPr>
          <w:rFonts w:ascii="Times New Roman" w:cs="Times New Roman" w:eastAsia="Times New Roman" w:hAnsi="Times New Roman"/>
          <w:b/>
          <w:bCs/>
          <w:sz w:val="24"/>
          <w:szCs w:val="24"/>
        </w:rPr>
        <w:t xml:space="preserve">Funding.</w:t>
      </w:r>
      <w:r>
        <w:rPr>
          <w:rFonts w:ascii="Times New Roman" w:cs="Times New Roman" w:eastAsia="Times New Roman" w:hAnsi="Times New Roman"/>
          <w:sz w:val="24"/>
          <w:szCs w:val="24"/>
        </w:rPr>
        <w:t xml:space="preserve"> [State any funding, or: This research received no specific grant from any funding agency in the public, commercial or not-for-profit sectors. API costs were met by the authors.]</w:t>
      </w:r>
    </w:p>
    <w:p>
      <w:pPr>
        <w:spacing w:after="160" w:line="300"/>
        <w:jc w:val="both"/>
      </w:pPr>
      <w:r>
        <w:rPr>
          <w:rFonts w:ascii="Times New Roman" w:cs="Times New Roman" w:eastAsia="Times New Roman" w:hAnsi="Times New Roman"/>
          <w:b/>
          <w:bCs/>
          <w:sz w:val="24"/>
          <w:szCs w:val="24"/>
        </w:rPr>
        <w:t xml:space="preserve">Use of generative AI.</w:t>
      </w:r>
      <w:r>
        <w:rPr>
          <w:rFonts w:ascii="Times New Roman" w:cs="Times New Roman" w:eastAsia="Times New Roman" w:hAnsi="Times New Roman"/>
          <w:sz w:val="24"/>
          <w:szCs w:val="24"/>
        </w:rPr>
        <w:t xml:space="preserve"> A large language model (Claude Opus 5.5, Anthropic) served as the first-pass coder of AI responses, under a written coding manual and with validation against two human coders, as described in the Method section. AI assistance was also used to write analysis code and for language editing. All analyses, interpretations and conclusions are the authors' own, and the authors take full responsibility for the content.</w:t>
      </w:r>
    </w:p>
    <w:p>
      <w:pPr>
        <w:spacing w:after="160" w:line="300"/>
        <w:jc w:val="both"/>
      </w:pPr>
      <w:r>
        <w:rPr>
          <w:rFonts w:ascii="Times New Roman" w:cs="Times New Roman" w:eastAsia="Times New Roman" w:hAnsi="Times New Roman"/>
          <w:b/>
          <w:bCs/>
          <w:sz w:val="24"/>
          <w:szCs w:val="24"/>
        </w:rPr>
        <w:t xml:space="preserve">Data availability.</w:t>
      </w:r>
      <w:r>
        <w:rPr>
          <w:rFonts w:ascii="Times New Roman" w:cs="Times New Roman" w:eastAsia="Times New Roman" w:hAnsi="Times New Roman"/>
          <w:sz w:val="24"/>
          <w:szCs w:val="24"/>
        </w:rPr>
        <w:t xml:space="preserve"> Prompts, coding manual, analysis code and derived tables are available from the corresponding author on request [or: in a public repository, URL to be added after review to preserve anonymity].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a110258af171d655961ff71f3cd8b8ae722d84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Brand Equity</dc:title>
  <dc:creator>Authors</dc:creator>
  <cp:lastModifiedBy>Un-named</cp:lastModifiedBy>
  <cp:revision>1</cp:revision>
  <dcterms:created xsi:type="dcterms:W3CDTF">2026-10-01T17:47:03.918Z</dcterms:created>
  <dcterms:modified xsi:type="dcterms:W3CDTF">2026-10-01T17:47:03.926Z</dcterms:modified>
</cp:coreProperties>
</file>

<file path=docProps/custom.xml><?xml version="1.0" encoding="utf-8"?>
<Properties xmlns="http://schemas.openxmlformats.org/officeDocument/2006/custom-properties" xmlns:vt="http://schemas.openxmlformats.org/officeDocument/2006/docPropsVTypes"/>
</file>