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i/>
          <w:iCs/>
          <w:sz w:val="22"/>
          <w:szCs w:val="22"/>
        </w:rPr>
        <w:t xml:space="preserve">Chapter Proposal</w:t>
      </w:r>
    </w:p>
    <w:p>
      <w:pPr>
        <w:spacing w:after="120"/>
        <w:jc w:val="center"/>
      </w:pPr>
      <w:r>
        <w:rPr>
          <w:rFonts w:ascii="Times New Roman" w:cs="Times New Roman" w:eastAsia="Times New Roman" w:hAnsi="Times New Roman"/>
          <w:b/>
          <w:bCs/>
          <w:sz w:val="32"/>
          <w:szCs w:val="32"/>
        </w:rPr>
        <w:t xml:space="preserve">Generative Brand Equity: Auditing How AI Answers Represent Indian D2C Brands</w:t>
      </w:r>
    </w:p>
    <w:p>
      <w:pPr>
        <w:spacing w:after="160" w:line="300"/>
        <w:jc w:val="center"/>
      </w:pPr>
      <w:r>
        <w:rPr>
          <w:rFonts w:ascii="Times New Roman" w:cs="Times New Roman" w:eastAsia="Times New Roman" w:hAnsi="Times New Roman"/>
          <w:b/>
          <w:bCs/>
          <w:sz w:val="24"/>
          <w:szCs w:val="24"/>
        </w:rPr>
        <w:t xml:space="preserve">Submitted to: </w:t>
      </w:r>
      <w:r>
        <w:rPr>
          <w:rFonts w:ascii="Times New Roman" w:cs="Times New Roman" w:eastAsia="Times New Roman" w:hAnsi="Times New Roman"/>
          <w:sz w:val="24"/>
          <w:szCs w:val="24"/>
        </w:rPr>
        <w:t xml:space="preserve">Digital Marketing and Brand Visibility in the Age of Generative Discovery (eds. L. Bacalhau, M. Pereira and P. Pinheiro), IGI Global Scientific Publishing</w:t>
      </w:r>
    </w:p>
    <w:p>
      <w:pPr>
        <w:spacing w:after="160" w:line="300"/>
        <w:jc w:val="center"/>
      </w:pPr>
      <w:r>
        <w:rPr>
          <w:rFonts w:ascii="Times New Roman" w:cs="Times New Roman" w:eastAsia="Times New Roman" w:hAnsi="Times New Roman"/>
          <w:b/>
          <w:bCs/>
          <w:sz w:val="24"/>
          <w:szCs w:val="24"/>
        </w:rPr>
        <w:t xml:space="preserve">Authors: </w:t>
      </w:r>
      <w:r>
        <w:rPr>
          <w:rFonts w:ascii="Times New Roman" w:cs="Times New Roman" w:eastAsia="Times New Roman" w:hAnsi="Times New Roman"/>
          <w:sz w:val="24"/>
          <w:szCs w:val="24"/>
        </w:rPr>
        <w:t xml:space="preserve">[Author 1], [Author 2], [Author 3], [Faculty guide]</w:t>
      </w:r>
    </w:p>
    <w:p>
      <w:pPr>
        <w:spacing w:after="160" w:line="300"/>
        <w:jc w:val="center"/>
      </w:pPr>
      <w:r>
        <w:rPr>
          <w:rFonts w:ascii="Times New Roman" w:cs="Times New Roman" w:eastAsia="Times New Roman" w:hAnsi="Times New Roman"/>
          <w:b/>
          <w:bCs/>
          <w:sz w:val="24"/>
          <w:szCs w:val="24"/>
        </w:rPr>
        <w:t xml:space="preserve">Affiliation: </w:t>
      </w:r>
      <w:r>
        <w:rPr>
          <w:rFonts w:ascii="Times New Roman" w:cs="Times New Roman" w:eastAsia="Times New Roman" w:hAnsi="Times New Roman"/>
          <w:sz w:val="24"/>
          <w:szCs w:val="24"/>
        </w:rPr>
        <w:t xml:space="preserve">Mukesh Patel School of Technology Management and Engineering, SVKM's NMIMS, Mumbai, India</w:t>
      </w:r>
    </w:p>
    <w:p>
      <w:pPr>
        <w:spacing w:after="240"/>
        <w:jc w:val="center"/>
      </w:pPr>
      <w:r>
        <w:rPr>
          <w:rFonts w:ascii="Times New Roman" w:cs="Times New Roman" w:eastAsia="Times New Roman" w:hAnsi="Times New Roman"/>
          <w:b/>
          <w:bCs/>
          <w:sz w:val="24"/>
          <w:szCs w:val="24"/>
        </w:rPr>
        <w:t xml:space="preserve">Corresponding author: </w:t>
      </w:r>
      <w:r>
        <w:rPr>
          <w:rFonts w:ascii="Times New Roman" w:cs="Times New Roman" w:eastAsia="Times New Roman" w:hAnsi="Times New Roman"/>
          <w:sz w:val="24"/>
          <w:szCs w:val="24"/>
        </w:rPr>
        <w:t xml:space="preserve">[Name, email]</w:t>
      </w:r>
    </w:p>
    <w:p>
      <w:pPr>
        <w:pStyle w:val="Heading1"/>
        <w:spacing w:after="140" w:before="280"/>
      </w:pPr>
      <w:r>
        <w:rPr>
          <w:rFonts w:ascii="Times New Roman" w:cs="Times New Roman" w:eastAsia="Times New Roman" w:hAnsi="Times New Roman"/>
          <w:b/>
          <w:bCs/>
          <w:sz w:val="26"/>
          <w:szCs w:val="26"/>
        </w:rPr>
        <w:t xml:space="preserve">Abstract</w:t>
      </w:r>
    </w:p>
    <w:p>
      <w:pPr>
        <w:spacing w:after="160" w:line="300"/>
        <w:jc w:val="both"/>
      </w:pPr>
      <w:r>
        <w:rPr>
          <w:rFonts w:ascii="Times New Roman" w:cs="Times New Roman" w:eastAsia="Times New Roman" w:hAnsi="Times New Roman"/>
          <w:sz w:val="24"/>
          <w:szCs w:val="24"/>
        </w:rPr>
        <w:t xml:space="preserve">Indian consumers increasingly ask generative AI systems which skincare serum or pair of earbuds to buy, and receive a short synthesised answer instead of a list of links. In this setting, a brand's awareness and perceived quality are shaped less by the exposure it buys and more by whether the model retrieves it, how it describes it, and which sources it cites. This chapter proposes Generative Brand Equity, an adaptation of consumer-based brand equity to machine-mediated discovery, and tests it through a structured prompt-based audit of Indian direct-to-consumer (D2C) brands and established incumbents across ChatGPT, Gemini, Perplexity and Google AI Overviews. Using repeated prompts in two product categories, the study measures share-of-model, prominence, brand representation, citation sources and cross-platform stability, and compares these against observable market benchmarks. The chapter contributes a measurement protocol that marketing scholars can replicate, evidence from an under-studied emerging market, and practical guidance for resource-constrained brands competing for visibility inside AI answers.</w:t>
      </w:r>
    </w:p>
    <w:p>
      <w:pPr>
        <w:pStyle w:val="Heading1"/>
        <w:spacing w:after="140" w:before="280"/>
      </w:pPr>
      <w:r>
        <w:rPr>
          <w:rFonts w:ascii="Times New Roman" w:cs="Times New Roman" w:eastAsia="Times New Roman" w:hAnsi="Times New Roman"/>
          <w:b/>
          <w:bCs/>
          <w:sz w:val="26"/>
          <w:szCs w:val="26"/>
        </w:rPr>
        <w:t xml:space="preserve">Mission and Concerns of the Chapter</w:t>
      </w:r>
    </w:p>
    <w:p>
      <w:pPr>
        <w:spacing w:after="160" w:line="300"/>
        <w:jc w:val="both"/>
      </w:pPr>
      <w:r>
        <w:rPr>
          <w:rFonts w:ascii="Times New Roman" w:cs="Times New Roman" w:eastAsia="Times New Roman" w:hAnsi="Times New Roman"/>
          <w:sz w:val="24"/>
          <w:szCs w:val="24"/>
        </w:rPr>
        <w:t xml:space="preserve">The book treats brand visibility as a dependent variable in environments where a model performs the first filtering. This chapter addresses that agenda from an emerging-market angle. India has one of the fastest-growing D2C sectors in the world, built largely on search, social and marketplace visibility. Many of these brands compete against global and domestic incumbents with far larger media budgets. If generative answers now act as the entry point to consideration, the question is whether they reproduce the incumbents' advantage, correct it, or distort brand reality in new ways.</w:t>
      </w:r>
    </w:p>
    <w:p>
      <w:pPr>
        <w:spacing w:after="160" w:line="300"/>
        <w:jc w:val="both"/>
      </w:pPr>
      <w:r>
        <w:rPr>
          <w:rFonts w:ascii="Times New Roman" w:cs="Times New Roman" w:eastAsia="Times New Roman" w:hAnsi="Times New Roman"/>
          <w:sz w:val="24"/>
          <w:szCs w:val="24"/>
        </w:rPr>
        <w:t xml:space="preserve">The chapter is concerned with three problems. First, classical brand equity constructs assume the consumer is exposed to the brand directly; under generative mediation, the first audience for brand content is a retrieval-and-synthesis pipeline. Second, there is no agreed way for marketers to measure visibility inside AI answers, and the outputs themselves vary from one run to the next. Third, small and independent brands may be systematically disadvantaged if models favour brands with dense coverage in encyclopaedic, editorial and review sources.</w:t>
      </w:r>
    </w:p>
    <w:p>
      <w:pPr>
        <w:pStyle w:val="Heading1"/>
        <w:spacing w:after="140" w:before="280"/>
      </w:pPr>
      <w:r>
        <w:rPr>
          <w:rFonts w:ascii="Times New Roman" w:cs="Times New Roman" w:eastAsia="Times New Roman" w:hAnsi="Times New Roman"/>
          <w:b/>
          <w:bCs/>
          <w:sz w:val="26"/>
          <w:szCs w:val="26"/>
        </w:rPr>
        <w:t xml:space="preserve">Objectives and Research Questions</w:t>
      </w:r>
    </w:p>
    <w:p>
      <w:pPr>
        <w:spacing w:after="160" w:line="300"/>
        <w:jc w:val="both"/>
      </w:pPr>
      <w:r>
        <w:rPr>
          <w:rFonts w:ascii="Times New Roman" w:cs="Times New Roman" w:eastAsia="Times New Roman" w:hAnsi="Times New Roman"/>
          <w:sz w:val="24"/>
          <w:szCs w:val="24"/>
        </w:rPr>
        <w:t xml:space="preserve">The chapter has four objectives: to conceptualise Generative Brand Equity; to design a defensible, replicable audit protocol; to apply it to Indian D2C and incumbent brands; and to derive implications for managers and policy. It is organised around four research questions: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How frequently and how prominently do Indian D2C brands appear in generative answers relative to incumbents?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How do models describe these brands, and how closely do those descriptions match the brands' stated positioning?</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Which sources (brand-owned, marketplace, review and community, editorial, encyclopaedic) do the models rely on when recommending brands?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RQ4. </w:t>
      </w:r>
      <w:r>
        <w:rPr>
          <w:rFonts w:ascii="Times New Roman" w:cs="Times New Roman" w:eastAsia="Times New Roman" w:hAnsi="Times New Roman"/>
          <w:sz w:val="24"/>
          <w:szCs w:val="24"/>
        </w:rPr>
        <w:t xml:space="preserve">How stable are these visibility measures across platforms and across repeated runs of the same prompt?</w:t>
      </w:r>
    </w:p>
    <w:p>
      <w:pPr>
        <w:pStyle w:val="Heading1"/>
        <w:spacing w:after="140" w:before="280"/>
      </w:pPr>
      <w:r>
        <w:rPr>
          <w:rFonts w:ascii="Times New Roman" w:cs="Times New Roman" w:eastAsia="Times New Roman" w:hAnsi="Times New Roman"/>
          <w:b/>
          <w:bCs/>
          <w:sz w:val="26"/>
          <w:szCs w:val="26"/>
        </w:rPr>
        <w:t xml:space="preserve">Theoretical Background</w:t>
      </w:r>
    </w:p>
    <w:p>
      <w:pPr>
        <w:spacing w:after="160" w:line="300"/>
        <w:jc w:val="both"/>
      </w:pPr>
      <w:r>
        <w:rPr>
          <w:rFonts w:ascii="Times New Roman" w:cs="Times New Roman" w:eastAsia="Times New Roman" w:hAnsi="Times New Roman"/>
          <w:sz w:val="24"/>
          <w:szCs w:val="24"/>
        </w:rPr>
        <w:t xml:space="preserve">The chapter builds on Keller's (1993) consumer-based brand equity, which locates brand value in awareness and in the strength, favourability and uniqueness of brand associations. It also draws on the mental availability perspective (Sharp, 2010) and on consideration set research (Shocker et al., 1991), both of which assume that recall precedes choice. In generative discovery, retrieval by the model precedes recall by the consumer. Recent work in computer science shows that visibility in generative engines responds to source credibility and quotation rather than to keyword tactics (Aggarwal et al., 2024), while marketing scholarship has mostly examined generative AI as a production tool or a strategic and ethical question (Grewal et al., 2025; Hartmann et al., 2025; Hermann &amp; Puntoni, 2025). The chapter connects these streams by treating the model's representation of a brand as a form of brand image that consumers encounter before any direct exposure.</w:t>
      </w:r>
    </w:p>
    <w:p>
      <w:pPr>
        <w:pStyle w:val="Heading1"/>
        <w:spacing w:after="140" w:before="280"/>
      </w:pPr>
      <w:r>
        <w:rPr>
          <w:rFonts w:ascii="Times New Roman" w:cs="Times New Roman" w:eastAsia="Times New Roman" w:hAnsi="Times New Roman"/>
          <w:b/>
          <w:bCs/>
          <w:sz w:val="26"/>
          <w:szCs w:val="26"/>
        </w:rPr>
        <w:t xml:space="preserve">Proposed Framework: Generative Brand Equity</w:t>
      </w:r>
    </w:p>
    <w:p>
      <w:pPr>
        <w:spacing w:after="160" w:line="300"/>
        <w:jc w:val="both"/>
      </w:pPr>
      <w:r>
        <w:rPr>
          <w:rFonts w:ascii="Times New Roman" w:cs="Times New Roman" w:eastAsia="Times New Roman" w:hAnsi="Times New Roman"/>
          <w:sz w:val="24"/>
          <w:szCs w:val="24"/>
        </w:rPr>
        <w:t xml:space="preserve">The framework adapts the dimensions of consumer-based brand equity to machine-mediated discovery: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Model awareness: </w:t>
      </w:r>
      <w:r>
        <w:rPr>
          <w:rFonts w:ascii="Times New Roman" w:cs="Times New Roman" w:eastAsia="Times New Roman" w:hAnsi="Times New Roman"/>
          <w:sz w:val="24"/>
          <w:szCs w:val="24"/>
        </w:rPr>
        <w:t xml:space="preserve">whether and how often the brand is retrieved for category-level prompts (share-of-model, mention rate).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Model prominence: </w:t>
      </w:r>
      <w:r>
        <w:rPr>
          <w:rFonts w:ascii="Times New Roman" w:cs="Times New Roman" w:eastAsia="Times New Roman" w:hAnsi="Times New Roman"/>
          <w:sz w:val="24"/>
          <w:szCs w:val="24"/>
        </w:rPr>
        <w:t xml:space="preserve">where the brand appears in the answer (first mention, average position).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Model image: </w:t>
      </w:r>
      <w:r>
        <w:rPr>
          <w:rFonts w:ascii="Times New Roman" w:cs="Times New Roman" w:eastAsia="Times New Roman" w:hAnsi="Times New Roman"/>
          <w:sz w:val="24"/>
          <w:szCs w:val="24"/>
        </w:rPr>
        <w:t xml:space="preserve">the attributes, tone and price or quality cues the model attaches to the brand, compared with its own positioning.</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Model credibility: </w:t>
      </w:r>
      <w:r>
        <w:rPr>
          <w:rFonts w:ascii="Times New Roman" w:cs="Times New Roman" w:eastAsia="Times New Roman" w:hAnsi="Times New Roman"/>
          <w:sz w:val="24"/>
          <w:szCs w:val="24"/>
        </w:rPr>
        <w:t xml:space="preserve">the type and diversity of sources cited in support of the brand.</w:t>
      </w:r>
    </w:p>
    <w:p>
      <w:pPr>
        <w:spacing w:after="160" w:line="300"/>
        <w:jc w:val="both"/>
      </w:pPr>
      <w:r>
        <w:rPr>
          <w:rFonts w:ascii="Times New Roman" w:cs="Times New Roman" w:eastAsia="Times New Roman" w:hAnsi="Times New Roman"/>
          <w:sz w:val="24"/>
          <w:szCs w:val="24"/>
        </w:rPr>
        <w:t xml:space="preserve">Stability across runs and platforms is treated as a cross-cutting property of all four dimensions, not as noise to be averaged away. The chapter will state propositions linking these dimensions to classical outcomes such as consideration, while being explicit that the empirical study measures representation and not consumer intention.</w:t>
      </w:r>
    </w:p>
    <w:p>
      <w:pPr>
        <w:pStyle w:val="Heading1"/>
        <w:spacing w:after="140" w:before="280"/>
      </w:pPr>
      <w:r>
        <w:rPr>
          <w:rFonts w:ascii="Times New Roman" w:cs="Times New Roman" w:eastAsia="Times New Roman" w:hAnsi="Times New Roman"/>
          <w:b/>
          <w:bCs/>
          <w:sz w:val="26"/>
          <w:szCs w:val="26"/>
        </w:rPr>
        <w:t xml:space="preserve">Methodology</w:t>
      </w:r>
    </w:p>
    <w:p>
      <w:pPr>
        <w:pStyle w:val="Heading2"/>
        <w:spacing w:after="100" w:before="200"/>
      </w:pPr>
      <w:r>
        <w:rPr>
          <w:rFonts w:ascii="Times New Roman" w:cs="Times New Roman" w:eastAsia="Times New Roman" w:hAnsi="Times New Roman"/>
          <w:b/>
          <w:bCs/>
          <w:i/>
          <w:iCs/>
          <w:sz w:val="24"/>
          <w:szCs w:val="24"/>
        </w:rPr>
        <w:t xml:space="preserve">Scope</w:t>
      </w:r>
    </w:p>
    <w:p>
      <w:pPr>
        <w:spacing w:after="160" w:line="300"/>
        <w:jc w:val="both"/>
      </w:pPr>
      <w:r>
        <w:rPr>
          <w:rFonts w:ascii="Times New Roman" w:cs="Times New Roman" w:eastAsia="Times New Roman" w:hAnsi="Times New Roman"/>
          <w:sz w:val="24"/>
          <w:szCs w:val="24"/>
        </w:rPr>
        <w:t xml:space="preserve">Two categories with strong D2C competition will be studied: personal care (for example, skincare serums) and consumer audio (for example, wireless earbuds). In each category, five to six brands will be selected, mixing Indian D2C brands with established domestic and global incumbents.</w:t>
      </w:r>
    </w:p>
    <w:p>
      <w:pPr>
        <w:pStyle w:val="Heading2"/>
        <w:spacing w:after="100" w:before="200"/>
      </w:pPr>
      <w:r>
        <w:rPr>
          <w:rFonts w:ascii="Times New Roman" w:cs="Times New Roman" w:eastAsia="Times New Roman" w:hAnsi="Times New Roman"/>
          <w:b/>
          <w:bCs/>
          <w:i/>
          <w:iCs/>
          <w:sz w:val="24"/>
          <w:szCs w:val="24"/>
        </w:rPr>
        <w:t xml:space="preserve">Prompt design and data collection</w:t>
      </w:r>
    </w:p>
    <w:p>
      <w:pPr>
        <w:spacing w:after="160" w:line="300"/>
        <w:jc w:val="both"/>
      </w:pPr>
      <w:r>
        <w:rPr>
          <w:rFonts w:ascii="Times New Roman" w:cs="Times New Roman" w:eastAsia="Times New Roman" w:hAnsi="Times New Roman"/>
          <w:sz w:val="24"/>
          <w:szCs w:val="24"/>
        </w:rPr>
        <w:t xml:space="preserve">A set of about 30 shopper prompts per category will be written to reflect realistic Indian queries: generic category questions, use-case questions, price-band questions (for example, under Rs. 2,000) and direct comparisons. Each prompt will be run five times on ChatGPT, Gemini, Perplexity and Google AI Overviews, using fresh sessions, no personalisation, and an Indian location setting. This yields roughly 1,200 responses. Query dates, interface versions and model versions will be logged, since platform behaviour changes over time.</w:t>
      </w:r>
    </w:p>
    <w:p>
      <w:pPr>
        <w:pStyle w:val="Heading2"/>
        <w:spacing w:after="100" w:before="200"/>
      </w:pPr>
      <w:r>
        <w:rPr>
          <w:rFonts w:ascii="Times New Roman" w:cs="Times New Roman" w:eastAsia="Times New Roman" w:hAnsi="Times New Roman"/>
          <w:b/>
          <w:bCs/>
          <w:i/>
          <w:iCs/>
          <w:sz w:val="24"/>
          <w:szCs w:val="24"/>
        </w:rPr>
        <w:t xml:space="preserve">Coding and measures</w:t>
      </w:r>
    </w:p>
    <w:p>
      <w:pPr>
        <w:spacing w:after="160" w:line="300"/>
        <w:jc w:val="both"/>
      </w:pPr>
      <w:r>
        <w:rPr>
          <w:rFonts w:ascii="Times New Roman" w:cs="Times New Roman" w:eastAsia="Times New Roman" w:hAnsi="Times New Roman"/>
          <w:sz w:val="24"/>
          <w:szCs w:val="24"/>
        </w:rPr>
        <w:t xml:space="preserve">Each response will be coded for brand mentions, order of mention, descriptive attributes, sentiment and cited domains. Cited sources will be classified as brand-owned, marketplace, review or community, editorial, or encyclopaedic. Two coders will code a subsample independently and inter-coder reliability will be reported using Cohen's kappa. Measures include share-of-model, first-mention rate, average position, attribute match with brand positioning, citation share by source type, and run-to-run overlap of recommended brands.</w:t>
      </w:r>
    </w:p>
    <w:p>
      <w:pPr>
        <w:pStyle w:val="Heading2"/>
        <w:spacing w:after="100" w:before="200"/>
      </w:pPr>
      <w:r>
        <w:rPr>
          <w:rFonts w:ascii="Times New Roman" w:cs="Times New Roman" w:eastAsia="Times New Roman" w:hAnsi="Times New Roman"/>
          <w:b/>
          <w:bCs/>
          <w:i/>
          <w:iCs/>
          <w:sz w:val="24"/>
          <w:szCs w:val="24"/>
        </w:rPr>
        <w:t xml:space="preserve">Benchmarks</w:t>
      </w:r>
    </w:p>
    <w:p>
      <w:pPr>
        <w:spacing w:after="160" w:line="300"/>
        <w:jc w:val="both"/>
      </w:pPr>
      <w:r>
        <w:rPr>
          <w:rFonts w:ascii="Times New Roman" w:cs="Times New Roman" w:eastAsia="Times New Roman" w:hAnsi="Times New Roman"/>
          <w:sz w:val="24"/>
          <w:szCs w:val="24"/>
        </w:rPr>
        <w:t xml:space="preserve">Generative visibility will be compared against observable market signals, such as marketplace ratings and review volumes and, where publicly available, reported revenue or market share. This allows the chapter to identify where AI answers over- or under-represent brands relative to their market presence.</w:t>
      </w:r>
    </w:p>
    <w:p>
      <w:pPr>
        <w:pStyle w:val="Heading1"/>
        <w:spacing w:after="140" w:before="280"/>
      </w:pPr>
      <w:r>
        <w:rPr>
          <w:rFonts w:ascii="Times New Roman" w:cs="Times New Roman" w:eastAsia="Times New Roman" w:hAnsi="Times New Roman"/>
          <w:b/>
          <w:bCs/>
          <w:sz w:val="26"/>
          <w:szCs w:val="26"/>
        </w:rPr>
        <w:t xml:space="preserve">Expected Contributions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Theoretical: </w:t>
      </w:r>
      <w:r>
        <w:rPr>
          <w:rFonts w:ascii="Times New Roman" w:cs="Times New Roman" w:eastAsia="Times New Roman" w:hAnsi="Times New Roman"/>
          <w:sz w:val="24"/>
          <w:szCs w:val="24"/>
        </w:rPr>
        <w:t xml:space="preserve">a Generative Brand Equity framework that extends consumer-based brand equity to settings without direct exposure.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Methodological: </w:t>
      </w:r>
      <w:r>
        <w:rPr>
          <w:rFonts w:ascii="Times New Roman" w:cs="Times New Roman" w:eastAsia="Times New Roman" w:hAnsi="Times New Roman"/>
          <w:sz w:val="24"/>
          <w:szCs w:val="24"/>
        </w:rPr>
        <w:t xml:space="preserve">a transparent prompt-audit protocol, including reliability checks and explicit treatment of output instability, that other researchers can replicate.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Empirical: </w:t>
      </w:r>
      <w:r>
        <w:rPr>
          <w:rFonts w:ascii="Times New Roman" w:cs="Times New Roman" w:eastAsia="Times New Roman" w:hAnsi="Times New Roman"/>
          <w:sz w:val="24"/>
          <w:szCs w:val="24"/>
        </w:rPr>
        <w:t xml:space="preserve">evidence from India, an emerging market largely absent from current generative engine optimisation research.</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Managerial: </w:t>
      </w:r>
      <w:r>
        <w:rPr>
          <w:rFonts w:ascii="Times New Roman" w:cs="Times New Roman" w:eastAsia="Times New Roman" w:hAnsi="Times New Roman"/>
          <w:sz w:val="24"/>
          <w:szCs w:val="24"/>
        </w:rPr>
        <w:t xml:space="preserve">guidance for D2C and other resource-constrained brands on which source types and content practices are associated with stronger visibility in AI answers.</w:t>
      </w:r>
    </w:p>
    <w:p>
      <w:pPr>
        <w:pStyle w:val="Heading1"/>
        <w:spacing w:after="140" w:before="280"/>
      </w:pPr>
      <w:r>
        <w:rPr>
          <w:rFonts w:ascii="Times New Roman" w:cs="Times New Roman" w:eastAsia="Times New Roman" w:hAnsi="Times New Roman"/>
          <w:b/>
          <w:bCs/>
          <w:sz w:val="26"/>
          <w:szCs w:val="26"/>
        </w:rPr>
        <w:t xml:space="preserve">Fit with the Book</w:t>
      </w:r>
    </w:p>
    <w:p>
      <w:pPr>
        <w:spacing w:after="160" w:line="300"/>
        <w:jc w:val="both"/>
      </w:pPr>
      <w:r>
        <w:rPr>
          <w:rFonts w:ascii="Times New Roman" w:cs="Times New Roman" w:eastAsia="Times New Roman" w:hAnsi="Times New Roman"/>
          <w:sz w:val="24"/>
          <w:szCs w:val="24"/>
        </w:rPr>
        <w:t xml:space="preserve">The chapter responds directly to several of the recommended topics: consumer-based brand equity in the absence of direct exposure; model representations of brands as a form of brand image; prompt-based auditing of brand visibility across generative platforms; share-of-model, citation rate and mention frequency as brand metrics; cross-platform variance and the instability of visibility measures; third-party sources as visibility infrastructure; the disadvantage of small and independent brands; and cross-cultural and emerging-market perspectives on AI-mediated discovery.</w:t>
      </w:r>
    </w:p>
    <w:p>
      <w:pPr>
        <w:pStyle w:val="Heading1"/>
        <w:spacing w:after="140" w:before="280"/>
      </w:pPr>
      <w:r>
        <w:rPr>
          <w:rFonts w:ascii="Times New Roman" w:cs="Times New Roman" w:eastAsia="Times New Roman" w:hAnsi="Times New Roman"/>
          <w:b/>
          <w:bCs/>
          <w:sz w:val="26"/>
          <w:szCs w:val="26"/>
        </w:rPr>
        <w:t xml:space="preserve">Tentative Chapter Outline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226"/>
      </w:tblGrid>
      <w:tr>
        <w:tc>
          <w:tcPr>
            <w:tcW w:type="dxa" w:w="3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r>
              <w:rPr>
                <w:rFonts w:ascii="Times New Roman" w:cs="Times New Roman" w:eastAsia="Times New Roman" w:hAnsi="Times New Roman"/>
                <w:b/>
                <w:bCs/>
                <w:sz w:val="21"/>
                <w:szCs w:val="21"/>
              </w:rPr>
              <w:t xml:space="preserve">Section</w:t>
            </w:r>
          </w:p>
        </w:tc>
        <w:tc>
          <w:tcPr>
            <w:tcW w:type="dxa" w:w="4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Content</w:t>
            </w:r>
          </w:p>
        </w:tc>
        <w:tc>
          <w:tcPr>
            <w:tcW w:type="dxa" w:w="1226"/>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r>
              <w:rPr>
                <w:rFonts w:ascii="Times New Roman" w:cs="Times New Roman" w:eastAsia="Times New Roman" w:hAnsi="Times New Roman"/>
                <w:b/>
                <w:bCs/>
                <w:sz w:val="21"/>
                <w:szCs w:val="21"/>
              </w:rPr>
              <w:t xml:space="preserve">Words</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Introduction</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From ranked links to synthesised answers; why Indian D2C brands</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 Literature review</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CBBE, mental availability, consideration sets, GEO and AI search</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 Conceptual framework</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Generative Brand Equity: four dimensions and propositions</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1,500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 Method</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Categories, brands, prompt set, platforms, repetitions, coding, benchmarks</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1,500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 Findings</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Share-of-model, prominence, representation, citations, stability</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 Discussion</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D2C vs incumbents, managerial levers, governance implications</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1,200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 Limitations, future research, conclusion</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Platform volatility, scope, research agenda</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800</w:t>
            </w:r>
          </w:p>
        </w:tc>
      </w:tr>
    </w:tbl>
    <w:p>
      <w:pPr>
        <w:spacing w:after="160" w:before="120"/>
        <w:jc w:val="both"/>
      </w:pPr>
      <w:r>
        <w:rPr>
          <w:rFonts w:ascii="Times New Roman" w:cs="Times New Roman" w:eastAsia="Times New Roman" w:hAnsi="Times New Roman"/>
          <w:sz w:val="24"/>
          <w:szCs w:val="24"/>
        </w:rPr>
        <w:t xml:space="preserve">Estimated total: about 10,000 words including references.</w:t>
      </w:r>
    </w:p>
    <w:p>
      <w:pPr>
        <w:pStyle w:val="Heading1"/>
        <w:spacing w:after="140" w:before="280"/>
      </w:pPr>
      <w:r>
        <w:rPr>
          <w:rFonts w:ascii="Times New Roman" w:cs="Times New Roman" w:eastAsia="Times New Roman" w:hAnsi="Times New Roman"/>
          <w:b/>
          <w:bCs/>
          <w:sz w:val="26"/>
          <w:szCs w:val="26"/>
        </w:rPr>
        <w:t xml:space="preserve">Keywords</w:t>
      </w:r>
    </w:p>
    <w:p>
      <w:pPr>
        <w:spacing w:after="160" w:line="300"/>
        <w:jc w:val="both"/>
      </w:pPr>
      <w:r>
        <w:rPr>
          <w:rFonts w:ascii="Times New Roman" w:cs="Times New Roman" w:eastAsia="Times New Roman" w:hAnsi="Times New Roman"/>
          <w:sz w:val="24"/>
          <w:szCs w:val="24"/>
        </w:rPr>
        <w:t xml:space="preserve">Generative engine optimisation; brand visibility; consumer-based brand equity; share-of-model; AI search; prompt-based audit; D2C brands; India; emerging markets</w:t>
      </w:r>
    </w:p>
    <w:p>
      <w:pPr>
        <w:pStyle w:val="Heading1"/>
        <w:spacing w:after="140" w:before="280"/>
      </w:pPr>
      <w:r>
        <w:rPr>
          <w:rFonts w:ascii="Times New Roman" w:cs="Times New Roman" w:eastAsia="Times New Roman" w:hAnsi="Times New Roman"/>
          <w:b/>
          <w:bCs/>
          <w:sz w:val="26"/>
          <w:szCs w:val="26"/>
        </w:rPr>
        <w:t xml:space="preserve">References</w:t>
      </w:r>
    </w:p>
    <w:p>
      <w:pPr>
        <w:spacing w:after="120" w:line="280"/>
        <w:ind w:left="720" w:hanging="720"/>
      </w:pPr>
      <w:r>
        <w:rPr>
          <w:rFonts w:ascii="Times New Roman" w:cs="Times New Roman" w:eastAsia="Times New Roman" w:hAnsi="Times New Roman"/>
          <w:sz w:val="22"/>
          <w:szCs w:val="22"/>
        </w:rPr>
        <w:t xml:space="preserve">Aggarwal, P., Murahari, V., Rajpurohit, T., Kalyan, A., Narasimhan, K., &amp; Deshpande, A. (2024). GEO: Generative engine optimization. In Proceedings of the 30th ACM SIGKDD Conference on Knowledge Discovery and Data Mining (pp. 5–16). ACM. https://doi.org/10.1145/3637528.3671900</w:t>
      </w:r>
    </w:p>
    <w:p>
      <w:pPr>
        <w:spacing w:after="120" w:line="280"/>
        <w:ind w:left="720" w:hanging="720"/>
      </w:pPr>
      <w:r>
        <w:rPr>
          <w:rFonts w:ascii="Times New Roman" w:cs="Times New Roman" w:eastAsia="Times New Roman" w:hAnsi="Times New Roman"/>
          <w:sz w:val="22"/>
          <w:szCs w:val="22"/>
        </w:rPr>
        <w:t xml:space="preserve">Grewal, D., Satornino, C. B., Davenport, T., &amp; Guha, A. (2025). How generative AI is shaping the future of marketing. Journal of the Academy of Marketing Science, 53(3), 702–722. https://doi.org/10.1007/s11747-024-01064-3</w:t>
      </w:r>
    </w:p>
    <w:p>
      <w:pPr>
        <w:spacing w:after="120" w:line="280"/>
        <w:ind w:left="720" w:hanging="720"/>
      </w:pPr>
      <w:r>
        <w:rPr>
          <w:rFonts w:ascii="Times New Roman" w:cs="Times New Roman" w:eastAsia="Times New Roman" w:hAnsi="Times New Roman"/>
          <w:sz w:val="22"/>
          <w:szCs w:val="22"/>
        </w:rPr>
        <w:t xml:space="preserve">Hartmann, J., Exner, Y., &amp; Domdey, S. (2025). The power of generative marketing: Can generative AI create superhuman visual marketing content? International Journal of Research in Marketing, 42(1), 13–31. https://doi.org/10.1016/j.ijresmar.2024.09.002</w:t>
      </w:r>
    </w:p>
    <w:p>
      <w:pPr>
        <w:spacing w:after="120" w:line="280"/>
        <w:ind w:left="720" w:hanging="720"/>
      </w:pPr>
      <w:r>
        <w:rPr>
          <w:rFonts w:ascii="Times New Roman" w:cs="Times New Roman" w:eastAsia="Times New Roman" w:hAnsi="Times New Roman"/>
          <w:sz w:val="22"/>
          <w:szCs w:val="22"/>
        </w:rPr>
        <w:t xml:space="preserve">Hermann, E., &amp; Puntoni, S. (2025). Generative AI in marketing and principles for ethical design and deployment. Journal of Public Policy &amp; Marketing, 44(3), 332–349. https://doi.org/10.1177/07439156241309874</w:t>
      </w:r>
    </w:p>
    <w:p>
      <w:pPr>
        <w:spacing w:after="120" w:line="280"/>
        <w:ind w:left="720" w:hanging="720"/>
      </w:pPr>
      <w:r>
        <w:rPr>
          <w:rFonts w:ascii="Times New Roman" w:cs="Times New Roman" w:eastAsia="Times New Roman" w:hAnsi="Times New Roman"/>
          <w:sz w:val="22"/>
          <w:szCs w:val="22"/>
        </w:rPr>
        <w:t xml:space="preserve">Keller, K. L. (1993). Conceptualizing, measuring, and managing customer-based brand equity. Journal of Marketing, 57(1), 1–22. https://doi.org/10.1177/002224299305700101</w:t>
      </w:r>
    </w:p>
    <w:p>
      <w:pPr>
        <w:spacing w:after="120" w:line="280"/>
        <w:ind w:left="720" w:hanging="720"/>
      </w:pPr>
      <w:r>
        <w:rPr>
          <w:rFonts w:ascii="Times New Roman" w:cs="Times New Roman" w:eastAsia="Times New Roman" w:hAnsi="Times New Roman"/>
          <w:sz w:val="22"/>
          <w:szCs w:val="22"/>
        </w:rPr>
        <w:t xml:space="preserve">Sharp, B. (2010). How brands grow: What marketers don't know. Oxford University Press.</w:t>
      </w:r>
    </w:p>
    <w:p>
      <w:pPr>
        <w:spacing w:after="120" w:line="280"/>
        <w:ind w:left="720" w:hanging="720"/>
      </w:pPr>
      <w:r>
        <w:rPr>
          <w:rFonts w:ascii="Times New Roman" w:cs="Times New Roman" w:eastAsia="Times New Roman" w:hAnsi="Times New Roman"/>
          <w:sz w:val="22"/>
          <w:szCs w:val="22"/>
        </w:rPr>
        <w:t xml:space="preserve">Shocker, A. D., Ben-Akiva, M., Boccara, B., &amp; Nedungadi, P. (1991). Consideration set influences on consumer decision-making and choice: Issues, models, and suggestions. Marketing Letters, 2(3), 181–197.</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2026-10-01T09:05:12.467Z</dcterms:created>
  <dcterms:modified xsi:type="dcterms:W3CDTF">2026-10-01T09:05:12.468Z</dcterms:modified>
</cp:coreProperties>
</file>

<file path=docProps/custom.xml><?xml version="1.0" encoding="utf-8"?>
<Properties xmlns="http://schemas.openxmlformats.org/officeDocument/2006/custom-properties" xmlns:vt="http://schemas.openxmlformats.org/officeDocument/2006/docPropsVTypes"/>
</file>