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600"/>
              <w:left w:type="dxa" w:w="500"/>
              <w:bottom w:type="dxa" w:w="600"/>
              <w:right w:type="dxa" w:w="500"/>
            </w:tcMar>
          </w:tcPr>
          <w:p>
            <w:pPr>
              <w:jc w:val="center"/>
            </w:pPr>
            <w:r>
              <w:rPr>
                <w:rFonts w:ascii="Arial" w:cs="Arial" w:eastAsia="Arial" w:hAnsi="Arial"/>
                <w:b/>
                <w:bCs/>
                <w:color w:val="FFFFFF"/>
                <w:sz w:val="56"/>
                <w:szCs w:val="56"/>
              </w:rPr>
              <w:t xml:space="preserve">DIGITAL TRANSFORMATION</w:t>
            </w:r>
          </w:p>
          <w:p>
            <w:pPr>
              <w:spacing w:before="80"/>
              <w:jc w:val="center"/>
            </w:pPr>
            <w:r>
              <w:rPr>
                <w:rFonts w:ascii="Arial" w:cs="Arial" w:eastAsia="Arial" w:hAnsi="Arial"/>
                <w:b/>
                <w:bCs/>
                <w:color w:val="E8943A"/>
                <w:sz w:val="44"/>
                <w:szCs w:val="44"/>
              </w:rPr>
              <w:t xml:space="preserve">OF INDIA'S PUBLIC DISTRIBUTION SYSTEM</w:t>
            </w:r>
          </w:p>
          <w:p>
            <w:pPr>
              <w:spacing w:before="160"/>
              <w:jc w:val="center"/>
            </w:pPr>
            <w:r>
              <w:rPr>
                <w:rFonts w:ascii="Arial" w:cs="Arial" w:eastAsia="Arial" w:hAnsi="Arial"/>
                <w:color w:val="AAAAAA"/>
                <w:sz w:val="26"/>
                <w:szCs w:val="26"/>
              </w:rPr>
              <w:t xml:space="preserve">A Consulting Case Study</w:t>
            </w:r>
          </w:p>
        </w:tc>
      </w:tr>
    </w:tbl>
    <w:p>
      <w:pPr>
        <w:spacing w:before="0" w:after="60"/>
      </w:pPr>
      <w:r>
        <w:t xml:space="preserve"/>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0"/>
              <w:bottom w:type="dxa" w:w="80"/>
              <w:right w:type="dxa" w:w="200"/>
            </w:tcMar>
          </w:tcPr>
          <w:p>
            <w:r>
              <w:rPr>
                <w:rFonts w:ascii="Arial" w:cs="Arial" w:eastAsia="Arial" w:hAnsi="Arial"/>
                <w:color w:val="888888"/>
                <w:sz w:val="19"/>
                <w:szCs w:val="19"/>
              </w:rPr>
              <w:t xml:space="preserve">Prepared by:</w:t>
            </w:r>
          </w:p>
          <w:p>
            <w:r>
              <w:rPr>
                <w:rFonts w:ascii="Arial" w:cs="Arial" w:eastAsia="Arial" w:hAnsi="Arial"/>
                <w:b/>
                <w:bCs/>
                <w:color w:val="1B3A6B"/>
                <w:sz w:val="24"/>
                <w:szCs w:val="24"/>
              </w:rPr>
              <w:t xml:space="preserve">Ayush Mishra</w:t>
            </w:r>
          </w:p>
          <w:p>
            <w:r>
              <w:rPr>
                <w:rFonts w:ascii="Arial" w:cs="Arial" w:eastAsia="Arial" w:hAnsi="Arial"/>
                <w:color w:val="444444"/>
                <w:sz w:val="19"/>
                <w:szCs w:val="19"/>
              </w:rPr>
              <w:t xml:space="preserve">B.Sc. Mathematics | Business Analyst</w:t>
            </w:r>
          </w:p>
        </w:tc>
        <w:tc>
          <w:tcPr>
            <w:tcW w:type="dxa" w:w="4680"/>
            <w:tcBorders>
              <w:top w:val="none" w:color="FFFFFF" w:sz="0"/>
              <w:left w:val="none" w:color="FFFFFF" w:sz="0"/>
              <w:bottom w:val="none" w:color="FFFFFF" w:sz="0"/>
              <w:right w:val="none" w:color="FFFFFF" w:sz="0"/>
            </w:tcBorders>
            <w:tcMar>
              <w:top w:type="dxa" w:w="80"/>
              <w:left w:type="dxa" w:w="200"/>
              <w:bottom w:type="dxa" w:w="80"/>
              <w:right w:type="dxa" w:w="0"/>
            </w:tcMar>
          </w:tcPr>
          <w:p>
            <w:pPr>
              <w:jc w:val="right"/>
            </w:pPr>
            <w:r>
              <w:rPr>
                <w:rFonts w:ascii="Arial" w:cs="Arial" w:eastAsia="Arial" w:hAnsi="Arial"/>
                <w:color w:val="888888"/>
                <w:sz w:val="19"/>
                <w:szCs w:val="19"/>
              </w:rPr>
              <w:t xml:space="preserve">Date: March 2026</w:t>
            </w:r>
          </w:p>
          <w:p>
            <w:pPr>
              <w:jc w:val="right"/>
            </w:pPr>
            <w:r>
              <w:rPr>
                <w:rFonts w:ascii="Arial" w:cs="Arial" w:eastAsia="Arial" w:hAnsi="Arial"/>
                <w:color w:val="444444"/>
                <w:sz w:val="19"/>
                <w:szCs w:val="19"/>
              </w:rPr>
              <w:t xml:space="preserve">Sector: Government &amp; Public Sector</w:t>
            </w:r>
          </w:p>
          <w:p>
            <w:pPr>
              <w:jc w:val="right"/>
            </w:pPr>
            <w:r>
              <w:rPr>
                <w:rFonts w:ascii="Arial" w:cs="Arial" w:eastAsia="Arial" w:hAnsi="Arial"/>
                <w:color w:val="444444"/>
                <w:sz w:val="19"/>
                <w:szCs w:val="19"/>
              </w:rPr>
              <w:t xml:space="preserve">Domain: Digital Transformation</w:t>
            </w:r>
          </w:p>
        </w:tc>
      </w:tr>
    </w:tbl>
    <w:p>
      <w:pPr>
        <w:spacing w:before="0" w:after="60"/>
      </w:pPr>
      <w:r>
        <w:t xml:space="preserve"/>
      </w:r>
    </w:p>
    <w:p>
      <w:pPr>
        <w:pBdr>
          <w:bottom w:val="single" w:color="E8943A" w:sz="4"/>
        </w:pBdr>
      </w:pPr>
      <w:r>
        <w:t xml:space="preserve"/>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D6E4F0" w:val="clear"/>
            <w:tcMar>
              <w:top w:type="dxa" w:w="80"/>
              <w:left w:type="dxa" w:w="80"/>
              <w:bottom w:type="dxa" w:w="80"/>
              <w:right w:type="dxa" w:w="80"/>
            </w:tcMar>
          </w:tcPr>
          <w:p>
            <w:pPr>
              <w:jc w:val="center"/>
            </w:pPr>
            <w:r>
              <w:rPr>
                <w:rFonts w:ascii="Arial" w:cs="Arial" w:eastAsia="Arial" w:hAnsi="Arial"/>
                <w:b/>
                <w:bCs/>
                <w:color w:val="1B3A6B"/>
                <w:sz w:val="17"/>
                <w:szCs w:val="17"/>
              </w:rPr>
              <w:t xml:space="preserve">Digital Transformation</w:t>
            </w:r>
          </w:p>
        </w:tc>
        <w:tc>
          <w:tcPr>
            <w:tcW w:type="dxa" w:w="1872"/>
            <w:tcBorders>
              <w:top w:val="none" w:color="FFFFFF" w:sz="0"/>
              <w:left w:val="none" w:color="FFFFFF" w:sz="0"/>
              <w:bottom w:val="none" w:color="FFFFFF" w:sz="0"/>
              <w:right w:val="none" w:color="FFFFFF" w:sz="0"/>
            </w:tcBorders>
            <w:shd w:fill="D6E4F0" w:val="clear"/>
            <w:tcMar>
              <w:top w:type="dxa" w:w="80"/>
              <w:left w:type="dxa" w:w="80"/>
              <w:bottom w:type="dxa" w:w="80"/>
              <w:right w:type="dxa" w:w="80"/>
            </w:tcMar>
          </w:tcPr>
          <w:p>
            <w:pPr>
              <w:jc w:val="center"/>
            </w:pPr>
            <w:r>
              <w:rPr>
                <w:rFonts w:ascii="Arial" w:cs="Arial" w:eastAsia="Arial" w:hAnsi="Arial"/>
                <w:b/>
                <w:bCs/>
                <w:color w:val="1B3A6B"/>
                <w:sz w:val="17"/>
                <w:szCs w:val="17"/>
              </w:rPr>
              <w:t xml:space="preserve">Governance Reform</w:t>
            </w:r>
          </w:p>
        </w:tc>
        <w:tc>
          <w:tcPr>
            <w:tcW w:type="dxa" w:w="1872"/>
            <w:tcBorders>
              <w:top w:val="none" w:color="FFFFFF" w:sz="0"/>
              <w:left w:val="none" w:color="FFFFFF" w:sz="0"/>
              <w:bottom w:val="none" w:color="FFFFFF" w:sz="0"/>
              <w:right w:val="none" w:color="FFFFFF" w:sz="0"/>
            </w:tcBorders>
            <w:shd w:fill="D6E4F0" w:val="clear"/>
            <w:tcMar>
              <w:top w:type="dxa" w:w="80"/>
              <w:left w:type="dxa" w:w="80"/>
              <w:bottom w:type="dxa" w:w="80"/>
              <w:right w:type="dxa" w:w="80"/>
            </w:tcMar>
          </w:tcPr>
          <w:p>
            <w:pPr>
              <w:jc w:val="center"/>
            </w:pPr>
            <w:r>
              <w:rPr>
                <w:rFonts w:ascii="Arial" w:cs="Arial" w:eastAsia="Arial" w:hAnsi="Arial"/>
                <w:b/>
                <w:bCs/>
                <w:color w:val="1B3A6B"/>
                <w:sz w:val="17"/>
                <w:szCs w:val="17"/>
              </w:rPr>
              <w:t xml:space="preserve">Process Redesign</w:t>
            </w:r>
          </w:p>
        </w:tc>
        <w:tc>
          <w:tcPr>
            <w:tcW w:type="dxa" w:w="1872"/>
            <w:tcBorders>
              <w:top w:val="none" w:color="FFFFFF" w:sz="0"/>
              <w:left w:val="none" w:color="FFFFFF" w:sz="0"/>
              <w:bottom w:val="none" w:color="FFFFFF" w:sz="0"/>
              <w:right w:val="none" w:color="FFFFFF" w:sz="0"/>
            </w:tcBorders>
            <w:shd w:fill="D6E4F0" w:val="clear"/>
            <w:tcMar>
              <w:top w:type="dxa" w:w="80"/>
              <w:left w:type="dxa" w:w="80"/>
              <w:bottom w:type="dxa" w:w="80"/>
              <w:right w:type="dxa" w:w="80"/>
            </w:tcMar>
          </w:tcPr>
          <w:p>
            <w:pPr>
              <w:jc w:val="center"/>
            </w:pPr>
            <w:r>
              <w:rPr>
                <w:rFonts w:ascii="Arial" w:cs="Arial" w:eastAsia="Arial" w:hAnsi="Arial"/>
                <w:b/>
                <w:bCs/>
                <w:color w:val="1B3A6B"/>
                <w:sz w:val="17"/>
                <w:szCs w:val="17"/>
              </w:rPr>
              <w:t xml:space="preserve">Stakeholder Mgmt</w:t>
            </w:r>
          </w:p>
        </w:tc>
        <w:tc>
          <w:tcPr>
            <w:tcW w:type="dxa" w:w="1872"/>
            <w:tcBorders>
              <w:top w:val="none" w:color="FFFFFF" w:sz="0"/>
              <w:left w:val="none" w:color="FFFFFF" w:sz="0"/>
              <w:bottom w:val="none" w:color="FFFFFF" w:sz="0"/>
              <w:right w:val="none" w:color="FFFFFF" w:sz="0"/>
            </w:tcBorders>
            <w:shd w:fill="D6E4F0" w:val="clear"/>
            <w:tcMar>
              <w:top w:type="dxa" w:w="80"/>
              <w:left w:type="dxa" w:w="80"/>
              <w:bottom w:type="dxa" w:w="80"/>
              <w:right w:type="dxa" w:w="80"/>
            </w:tcMar>
          </w:tcPr>
          <w:p>
            <w:pPr>
              <w:jc w:val="center"/>
            </w:pPr>
            <w:r>
              <w:rPr>
                <w:rFonts w:ascii="Arial" w:cs="Arial" w:eastAsia="Arial" w:hAnsi="Arial"/>
                <w:b/>
                <w:bCs/>
                <w:color w:val="1B3A6B"/>
                <w:sz w:val="17"/>
                <w:szCs w:val="17"/>
              </w:rPr>
              <w:t xml:space="preserve">Impact Analysis</w:t>
            </w:r>
          </w:p>
        </w:tc>
      </w:tr>
    </w:tbl>
    <w:p>
      <w:pPr>
        <w:spacing w:before="0" w:after="60"/>
      </w:pPr>
      <w:r>
        <w:t xml:space="preserve"/>
      </w:r>
    </w:p>
    <w:p>
      <w:pPr>
        <w:spacing w:before="0" w:after="60"/>
      </w:pPr>
      <w:r>
        <w:t xml:space="preserve"/>
      </w:r>
    </w:p>
    <w:p>
      <w:pPr>
        <w:pBdr>
          <w:bottom w:val="single" w:color="2E75B6" w:sz="12" w:space="4"/>
        </w:pBdr>
        <w:spacing w:before="300" w:after="120"/>
      </w:pPr>
      <w:r>
        <w:rPr>
          <w:rFonts w:ascii="Arial" w:cs="Arial" w:eastAsia="Arial" w:hAnsi="Arial"/>
          <w:b/>
          <w:bCs/>
          <w:color w:val="1B3A6B"/>
          <w:sz w:val="28"/>
          <w:szCs w:val="28"/>
        </w:rPr>
        <w:t xml:space="preserve">1. EXECUTIVE SUMMARY</w:t>
      </w:r>
    </w:p>
    <w:p>
      <w:pPr>
        <w:spacing w:before="60" w:after="80"/>
      </w:pPr>
      <w:r>
        <w:rPr>
          <w:rFonts w:ascii="Arial" w:cs="Arial" w:eastAsia="Arial" w:hAnsi="Arial"/>
          <w:b w:val="false"/>
          <w:bCs w:val="false"/>
          <w:color w:val="444444"/>
          <w:sz w:val="21"/>
          <w:szCs w:val="21"/>
        </w:rPr>
        <w:t xml:space="preserve">India's Public Distribution System (PDS) is the world's largest food security programme, serving over 80.6 crore (806 million) beneficiaries across 36 states and union territories. For decades, the system was plagued by chronic inefficiencies — ghost beneficiaries, fake ration cards, leakages in the supply chain, and lack of real-time oversight — resulting in billions of rupees of annual subsidy loss.</w:t>
      </w:r>
    </w:p>
    <w:p>
      <w:pPr>
        <w:spacing w:before="0" w:after="60"/>
      </w:pPr>
      <w:r>
        <w:t xml:space="preserve"/>
      </w:r>
    </w:p>
    <w:p>
      <w:pPr>
        <w:spacing w:before="60" w:after="80"/>
      </w:pPr>
      <w:r>
        <w:rPr>
          <w:rFonts w:ascii="Arial" w:cs="Arial" w:eastAsia="Arial" w:hAnsi="Arial"/>
          <w:b w:val="false"/>
          <w:bCs w:val="false"/>
          <w:color w:val="444444"/>
          <w:sz w:val="21"/>
          <w:szCs w:val="21"/>
        </w:rPr>
        <w:t xml:space="preserve">This case study examines the end-to-end digital transformation of the PDS, driven by the Ministry of Consumer Affairs, Food &amp; Public Distribution. The transformation leveraged Aadhaar-based biometric authentication, electronic Point of Sale (ePoS) devices, end-to-end supply chain computerisation, and the One Nation One Ration Card (ONORC) scheme to modernise last-mile delivery of subsidised food grains.</w:t>
      </w:r>
    </w:p>
    <w:p>
      <w:pPr>
        <w:spacing w:before="0" w:after="60"/>
      </w:pPr>
      <w:r>
        <w:t xml:space="preserve"/>
      </w:r>
    </w:p>
    <w:p>
      <w:pPr>
        <w:spacing w:before="60" w:after="80"/>
      </w:pPr>
      <w:r>
        <w:rPr>
          <w:rFonts w:ascii="Arial" w:cs="Arial" w:eastAsia="Arial" w:hAnsi="Arial"/>
          <w:b w:val="false"/>
          <w:bCs w:val="false"/>
          <w:color w:val="444444"/>
          <w:sz w:val="21"/>
          <w:szCs w:val="21"/>
        </w:rPr>
        <w:t xml:space="preserve">The result has been a landmark shift in governance, accountability, and efficiency — setting a global benchmark for technology-enabled public service delivery.</w:t>
      </w:r>
    </w:p>
    <w:p>
      <w:pPr>
        <w:spacing w:before="0" w:after="60"/>
      </w:pPr>
      <w:r>
        <w:t xml:space="preserve"/>
      </w:r>
    </w:p>
    <w:p>
      <w:pPr>
        <w:spacing w:before="200" w:after="80"/>
      </w:pPr>
      <w:r>
        <w:rPr>
          <w:rFonts w:ascii="Arial" w:cs="Arial" w:eastAsia="Arial" w:hAnsi="Arial"/>
          <w:b/>
          <w:bCs/>
          <w:color w:val="2E75B6"/>
          <w:sz w:val="24"/>
          <w:szCs w:val="24"/>
        </w:rPr>
        <w:t xml:space="preserve">Key Impact Metrics at a Glance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tcPr>
          <w:p>
            <w:r>
              <w:rPr>
                <w:rFonts w:ascii="Arial" w:cs="Arial" w:eastAsia="Arial" w:hAnsi="Arial"/>
                <w:b/>
                <w:bCs/>
                <w:color w:val="E8943A"/>
                <w:sz w:val="52"/>
                <w:szCs w:val="52"/>
              </w:rPr>
              <w:t xml:space="preserve">5.8 Cr</w:t>
            </w:r>
          </w:p>
          <w:p>
            <w:pPr>
              <w:spacing w:before="0" w:after="0"/>
            </w:pPr>
            <w:r>
              <w:rPr>
                <w:rFonts w:ascii="Arial" w:cs="Arial" w:eastAsia="Arial" w:hAnsi="Arial"/>
                <w:b/>
                <w:bCs/>
                <w:color w:val="FFFFFF"/>
                <w:sz w:val="20"/>
                <w:szCs w:val="20"/>
              </w:rPr>
              <w:t xml:space="preserve">Fake Ration Cards Eliminated</w:t>
            </w:r>
          </w:p>
          <w:p>
            <w:pPr>
              <w:spacing w:before="0" w:after="0"/>
            </w:pPr>
            <w:r>
              <w:rPr>
                <w:rFonts w:ascii="Arial" w:cs="Arial" w:eastAsia="Arial" w:hAnsi="Arial"/>
                <w:color w:val="AAAAAA"/>
                <w:sz w:val="17"/>
                <w:szCs w:val="17"/>
              </w:rPr>
              <w:t xml:space="preserve">via Aadhaar &amp; eKYC verification</w:t>
            </w:r>
          </w:p>
        </w:tc>
        <w:tc>
          <w:tcPr>
            <w:tcW w:type="dxa" w:w="468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tcPr>
          <w:p>
            <w:r>
              <w:rPr>
                <w:rFonts w:ascii="Arial" w:cs="Arial" w:eastAsia="Arial" w:hAnsi="Arial"/>
                <w:b/>
                <w:bCs/>
                <w:color w:val="E8943A"/>
                <w:sz w:val="52"/>
                <w:szCs w:val="52"/>
              </w:rPr>
              <w:t xml:space="preserve">80.6 Cr</w:t>
            </w:r>
          </w:p>
          <w:p>
            <w:pPr>
              <w:spacing w:before="0" w:after="0"/>
            </w:pPr>
            <w:r>
              <w:rPr>
                <w:rFonts w:ascii="Arial" w:cs="Arial" w:eastAsia="Arial" w:hAnsi="Arial"/>
                <w:b/>
                <w:bCs/>
                <w:color w:val="FFFFFF"/>
                <w:sz w:val="20"/>
                <w:szCs w:val="20"/>
              </w:rPr>
              <w:t xml:space="preserve">Beneficiaries Served</w:t>
            </w:r>
          </w:p>
          <w:p>
            <w:pPr>
              <w:spacing w:before="0" w:after="0"/>
            </w:pPr>
            <w:r>
              <w:rPr>
                <w:rFonts w:ascii="Arial" w:cs="Arial" w:eastAsia="Arial" w:hAnsi="Arial"/>
                <w:color w:val="AAAAAA"/>
                <w:sz w:val="17"/>
                <w:szCs w:val="17"/>
              </w:rPr>
              <w:t xml:space="preserve">across all 36 states &amp; UTs</w:t>
            </w:r>
          </w:p>
        </w:tc>
      </w:tr>
      <w:tr>
        <w:tc>
          <w:tcPr>
            <w:tcW w:type="dxa" w:w="9360"/>
            <w:gridSpan w:val="2"/>
            <w:tcBorders>
              <w:top w:val="none" w:color="FFFFFF" w:sz="0"/>
              <w:left w:val="none" w:color="FFFFFF" w:sz="0"/>
              <w:bottom w:val="none" w:color="FFFFFF" w:sz="0"/>
              <w:right w:val="none" w:color="FFFFFF" w:sz="0"/>
            </w:tcBorders>
          </w:tcPr>
          <w:p>
            <w:r>
              <w:rPr>
                <w:sz w:val="10"/>
                <w:szCs w:val="10"/>
              </w:rPr>
              <w:t xml:space="preserve"/>
            </w:r>
          </w:p>
        </w:tc>
      </w:tr>
      <w:tr>
        <w:tc>
          <w:tcPr>
            <w:tcW w:type="dxa" w:w="468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tcPr>
          <w:p>
            <w:r>
              <w:rPr>
                <w:rFonts w:ascii="Arial" w:cs="Arial" w:eastAsia="Arial" w:hAnsi="Arial"/>
                <w:b/>
                <w:bCs/>
                <w:color w:val="E8943A"/>
                <w:sz w:val="52"/>
                <w:szCs w:val="52"/>
              </w:rPr>
              <w:t xml:space="preserve">99.8%</w:t>
            </w:r>
          </w:p>
          <w:p>
            <w:pPr>
              <w:spacing w:before="0" w:after="0"/>
            </w:pPr>
            <w:r>
              <w:rPr>
                <w:rFonts w:ascii="Arial" w:cs="Arial" w:eastAsia="Arial" w:hAnsi="Arial"/>
                <w:b/>
                <w:bCs/>
                <w:color w:val="FFFFFF"/>
                <w:sz w:val="20"/>
                <w:szCs w:val="20"/>
              </w:rPr>
              <w:t xml:space="preserve">Ration Cards Linked to Aadhaar</w:t>
            </w:r>
          </w:p>
          <w:p>
            <w:pPr>
              <w:spacing w:before="0" w:after="0"/>
            </w:pPr>
            <w:r>
              <w:rPr>
                <w:rFonts w:ascii="Arial" w:cs="Arial" w:eastAsia="Arial" w:hAnsi="Arial"/>
                <w:color w:val="AAAAAA"/>
                <w:sz w:val="17"/>
                <w:szCs w:val="17"/>
              </w:rPr>
              <w:t xml:space="preserve">out of 20.4 crore total cards</w:t>
            </w:r>
          </w:p>
        </w:tc>
        <w:tc>
          <w:tcPr>
            <w:tcW w:type="dxa" w:w="468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tcPr>
          <w:p>
            <w:r>
              <w:rPr>
                <w:rFonts w:ascii="Arial" w:cs="Arial" w:eastAsia="Arial" w:hAnsi="Arial"/>
                <w:b/>
                <w:bCs/>
                <w:color w:val="E8943A"/>
                <w:sz w:val="52"/>
                <w:szCs w:val="52"/>
              </w:rPr>
              <w:t xml:space="preserve">5.33 L</w:t>
            </w:r>
          </w:p>
          <w:p>
            <w:pPr>
              <w:spacing w:before="0" w:after="0"/>
            </w:pPr>
            <w:r>
              <w:rPr>
                <w:rFonts w:ascii="Arial" w:cs="Arial" w:eastAsia="Arial" w:hAnsi="Arial"/>
                <w:b/>
                <w:bCs/>
                <w:color w:val="FFFFFF"/>
                <w:sz w:val="20"/>
                <w:szCs w:val="20"/>
              </w:rPr>
              <w:t xml:space="preserve">ePoS Devices Deployed</w:t>
            </w:r>
          </w:p>
          <w:p>
            <w:pPr>
              <w:spacing w:before="0" w:after="0"/>
            </w:pPr>
            <w:r>
              <w:rPr>
                <w:rFonts w:ascii="Arial" w:cs="Arial" w:eastAsia="Arial" w:hAnsi="Arial"/>
                <w:color w:val="AAAAAA"/>
                <w:sz w:val="17"/>
                <w:szCs w:val="17"/>
              </w:rPr>
              <w:t xml:space="preserve">at fair price shops nationwide</w:t>
            </w:r>
          </w:p>
        </w:tc>
      </w:tr>
      <w:tr>
        <w:tc>
          <w:tcPr>
            <w:tcW w:type="dxa" w:w="9360"/>
            <w:gridSpan w:val="2"/>
            <w:tcBorders>
              <w:top w:val="none" w:color="FFFFFF" w:sz="0"/>
              <w:left w:val="none" w:color="FFFFFF" w:sz="0"/>
              <w:bottom w:val="none" w:color="FFFFFF" w:sz="0"/>
              <w:right w:val="none" w:color="FFFFFF" w:sz="0"/>
            </w:tcBorders>
          </w:tcPr>
          <w:p>
            <w:r>
              <w:rPr>
                <w:sz w:val="10"/>
                <w:szCs w:val="10"/>
              </w:rPr>
              <w:t xml:space="preserve"/>
            </w:r>
          </w:p>
        </w:tc>
      </w:tr>
      <w:tr>
        <w:tc>
          <w:tcPr>
            <w:tcW w:type="dxa" w:w="468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tcPr>
          <w:p>
            <w:r>
              <w:rPr>
                <w:rFonts w:ascii="Arial" w:cs="Arial" w:eastAsia="Arial" w:hAnsi="Arial"/>
                <w:b/>
                <w:bCs/>
                <w:color w:val="E8943A"/>
                <w:sz w:val="52"/>
                <w:szCs w:val="52"/>
              </w:rPr>
              <w:t xml:space="preserve">98%</w:t>
            </w:r>
          </w:p>
          <w:p>
            <w:pPr>
              <w:spacing w:before="0" w:after="0"/>
            </w:pPr>
            <w:r>
              <w:rPr>
                <w:rFonts w:ascii="Arial" w:cs="Arial" w:eastAsia="Arial" w:hAnsi="Arial"/>
                <w:b/>
                <w:bCs/>
                <w:color w:val="FFFFFF"/>
                <w:sz w:val="20"/>
                <w:szCs w:val="20"/>
              </w:rPr>
              <w:t xml:space="preserve">Foodgrains via Aadhaar Auth</w:t>
            </w:r>
          </w:p>
          <w:p>
            <w:pPr>
              <w:spacing w:before="0" w:after="0"/>
            </w:pPr>
            <w:r>
              <w:rPr>
                <w:rFonts w:ascii="Arial" w:cs="Arial" w:eastAsia="Arial" w:hAnsi="Arial"/>
                <w:color w:val="AAAAAA"/>
                <w:sz w:val="17"/>
                <w:szCs w:val="17"/>
              </w:rPr>
              <w:t xml:space="preserve">reducing leakage &amp; pilferage</w:t>
            </w:r>
          </w:p>
        </w:tc>
        <w:tc>
          <w:tcPr>
            <w:tcW w:type="dxa" w:w="468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tcPr>
          <w:p>
            <w:r>
              <w:rPr>
                <w:rFonts w:ascii="Arial" w:cs="Arial" w:eastAsia="Arial" w:hAnsi="Arial"/>
                <w:b/>
                <w:bCs/>
                <w:color w:val="E8943A"/>
                <w:sz w:val="52"/>
                <w:szCs w:val="52"/>
              </w:rPr>
              <w:t xml:space="preserve">36</w:t>
            </w:r>
          </w:p>
          <w:p>
            <w:pPr>
              <w:spacing w:before="0" w:after="0"/>
            </w:pPr>
            <w:r>
              <w:rPr>
                <w:rFonts w:ascii="Arial" w:cs="Arial" w:eastAsia="Arial" w:hAnsi="Arial"/>
                <w:b/>
                <w:bCs/>
                <w:color w:val="FFFFFF"/>
                <w:sz w:val="20"/>
                <w:szCs w:val="20"/>
              </w:rPr>
              <w:t xml:space="preserve">States &amp; UTs on ONORC</w:t>
            </w:r>
          </w:p>
          <w:p>
            <w:pPr>
              <w:spacing w:before="0" w:after="0"/>
            </w:pPr>
            <w:r>
              <w:rPr>
                <w:rFonts w:ascii="Arial" w:cs="Arial" w:eastAsia="Arial" w:hAnsi="Arial"/>
                <w:color w:val="AAAAAA"/>
                <w:sz w:val="17"/>
                <w:szCs w:val="17"/>
              </w:rPr>
              <w:t xml:space="preserve">enabling nationwide portability</w:t>
            </w:r>
          </w:p>
        </w:tc>
      </w:tr>
    </w:tbl>
    <w:p>
      <w:pPr>
        <w:spacing w:before="0" w:after="60"/>
      </w:pPr>
      <w:r>
        <w:t xml:space="preserve"/>
      </w:r>
    </w:p>
    <w:p>
      <w:pPr>
        <w:spacing w:before="0" w:after="60"/>
      </w:pPr>
      <w:r>
        <w:t xml:space="preserve"/>
      </w:r>
    </w:p>
    <w:p>
      <w:pPr>
        <w:pBdr>
          <w:bottom w:val="single" w:color="2E75B6" w:sz="12" w:space="4"/>
        </w:pBdr>
        <w:spacing w:before="300" w:after="120"/>
      </w:pPr>
      <w:r>
        <w:rPr>
          <w:rFonts w:ascii="Arial" w:cs="Arial" w:eastAsia="Arial" w:hAnsi="Arial"/>
          <w:b/>
          <w:bCs/>
          <w:color w:val="1B3A6B"/>
          <w:sz w:val="28"/>
          <w:szCs w:val="28"/>
        </w:rPr>
        <w:t xml:space="preserve">2. PROBLEM STATEMENT</w:t>
      </w:r>
    </w:p>
    <w:p>
      <w:pPr>
        <w:spacing w:before="60" w:after="80"/>
      </w:pPr>
      <w:r>
        <w:rPr>
          <w:rFonts w:ascii="Arial" w:cs="Arial" w:eastAsia="Arial" w:hAnsi="Arial"/>
          <w:b w:val="false"/>
          <w:bCs w:val="false"/>
          <w:color w:val="444444"/>
          <w:sz w:val="21"/>
          <w:szCs w:val="21"/>
        </w:rPr>
        <w:t xml:space="preserve">Prior to digital transformation, the Targeted Public Distribution System (TPDS) operated on a largely manual infrastructure. Despite its massive scale, the system was fundamentally broken across multiple dimensions:</w:t>
      </w:r>
    </w:p>
    <w:p>
      <w:pPr>
        <w:spacing w:before="0" w:after="60"/>
      </w:pPr>
      <w:r>
        <w:t xml:space="preserve"/>
      </w:r>
    </w:p>
    <w:p>
      <w:pPr>
        <w:spacing w:before="200" w:after="80"/>
      </w:pPr>
      <w:r>
        <w:rPr>
          <w:rFonts w:ascii="Arial" w:cs="Arial" w:eastAsia="Arial" w:hAnsi="Arial"/>
          <w:b/>
          <w:bCs/>
          <w:color w:val="2E75B6"/>
          <w:sz w:val="24"/>
          <w:szCs w:val="24"/>
        </w:rPr>
        <w:t xml:space="preserve">2.1 Operational Inefficiencies</w:t>
      </w:r>
    </w:p>
    <w:p>
      <w:pPr>
        <w:pStyle w:val="ListParagraph"/>
        <w:numPr>
          <w:ilvl w:val="0"/>
          <w:numId w:val="2"/>
        </w:numPr>
        <w:spacing w:before="40" w:after="40"/>
      </w:pPr>
      <w:r>
        <w:rPr>
          <w:rFonts w:ascii="Arial" w:cs="Arial" w:eastAsia="Arial" w:hAnsi="Arial"/>
          <w:color w:val="444444"/>
          <w:sz w:val="21"/>
          <w:szCs w:val="21"/>
        </w:rPr>
        <w:t xml:space="preserve">Manual ration card issuance led to widespread duplication, ghost beneficiaries, and cards belonging to deceased persons</w:t>
      </w:r>
    </w:p>
    <w:p>
      <w:pPr>
        <w:pStyle w:val="ListParagraph"/>
        <w:numPr>
          <w:ilvl w:val="0"/>
          <w:numId w:val="2"/>
        </w:numPr>
        <w:spacing w:before="40" w:after="40"/>
      </w:pPr>
      <w:r>
        <w:rPr>
          <w:rFonts w:ascii="Arial" w:cs="Arial" w:eastAsia="Arial" w:hAnsi="Arial"/>
          <w:color w:val="444444"/>
          <w:sz w:val="21"/>
          <w:szCs w:val="21"/>
        </w:rPr>
        <w:t xml:space="preserve">No real-time tracking of food grain movement from procurement to distribution points</w:t>
      </w:r>
    </w:p>
    <w:p>
      <w:pPr>
        <w:pStyle w:val="ListParagraph"/>
        <w:numPr>
          <w:ilvl w:val="0"/>
          <w:numId w:val="2"/>
        </w:numPr>
        <w:spacing w:before="40" w:after="40"/>
      </w:pPr>
      <w:r>
        <w:rPr>
          <w:rFonts w:ascii="Arial" w:cs="Arial" w:eastAsia="Arial" w:hAnsi="Arial"/>
          <w:color w:val="444444"/>
          <w:sz w:val="21"/>
          <w:szCs w:val="21"/>
        </w:rPr>
        <w:t xml:space="preserve">Fair Price Shop (FPS) dealers operated with minimal accountability, enabling diversion of stock</w:t>
      </w:r>
    </w:p>
    <w:p>
      <w:pPr>
        <w:pStyle w:val="ListParagraph"/>
        <w:numPr>
          <w:ilvl w:val="0"/>
          <w:numId w:val="2"/>
        </w:numPr>
        <w:spacing w:before="40" w:after="40"/>
      </w:pPr>
      <w:r>
        <w:rPr>
          <w:rFonts w:ascii="Arial" w:cs="Arial" w:eastAsia="Arial" w:hAnsi="Arial"/>
          <w:color w:val="444444"/>
          <w:sz w:val="21"/>
          <w:szCs w:val="21"/>
        </w:rPr>
        <w:t xml:space="preserve">Beneficiaries were tied to a single FPS with no portability, causing hardship for migrant workers</w:t>
      </w:r>
    </w:p>
    <w:p>
      <w:pPr>
        <w:spacing w:before="0" w:after="60"/>
      </w:pPr>
      <w:r>
        <w:t xml:space="preserve"/>
      </w:r>
    </w:p>
    <w:p>
      <w:pPr>
        <w:spacing w:before="200" w:after="80"/>
      </w:pPr>
      <w:r>
        <w:rPr>
          <w:rFonts w:ascii="Arial" w:cs="Arial" w:eastAsia="Arial" w:hAnsi="Arial"/>
          <w:b/>
          <w:bCs/>
          <w:color w:val="2E75B6"/>
          <w:sz w:val="24"/>
          <w:szCs w:val="24"/>
        </w:rPr>
        <w:t xml:space="preserve">2.2 Governance &amp; Transparency Gaps</w:t>
      </w:r>
    </w:p>
    <w:p>
      <w:pPr>
        <w:pStyle w:val="ListParagraph"/>
        <w:numPr>
          <w:ilvl w:val="0"/>
          <w:numId w:val="2"/>
        </w:numPr>
        <w:spacing w:before="40" w:after="40"/>
      </w:pPr>
      <w:r>
        <w:rPr>
          <w:rFonts w:ascii="Arial" w:cs="Arial" w:eastAsia="Arial" w:hAnsi="Arial"/>
          <w:color w:val="444444"/>
          <w:sz w:val="21"/>
          <w:szCs w:val="21"/>
        </w:rPr>
        <w:t xml:space="preserve">Absence of digital audit trails made it impossible to verify actual distribution</w:t>
      </w:r>
    </w:p>
    <w:p>
      <w:pPr>
        <w:pStyle w:val="ListParagraph"/>
        <w:numPr>
          <w:ilvl w:val="0"/>
          <w:numId w:val="2"/>
        </w:numPr>
        <w:spacing w:before="40" w:after="40"/>
      </w:pPr>
      <w:r>
        <w:rPr>
          <w:rFonts w:ascii="Arial" w:cs="Arial" w:eastAsia="Arial" w:hAnsi="Arial"/>
          <w:color w:val="444444"/>
          <w:sz w:val="21"/>
          <w:szCs w:val="21"/>
        </w:rPr>
        <w:t xml:space="preserve">No standardised beneficiary database across states — records varied significantly in quality</w:t>
      </w:r>
    </w:p>
    <w:p>
      <w:pPr>
        <w:pStyle w:val="ListParagraph"/>
        <w:numPr>
          <w:ilvl w:val="0"/>
          <w:numId w:val="2"/>
        </w:numPr>
        <w:spacing w:before="40" w:after="40"/>
      </w:pPr>
      <w:r>
        <w:rPr>
          <w:rFonts w:ascii="Arial" w:cs="Arial" w:eastAsia="Arial" w:hAnsi="Arial"/>
          <w:color w:val="444444"/>
          <w:sz w:val="21"/>
          <w:szCs w:val="21"/>
        </w:rPr>
        <w:t xml:space="preserve">Grievance redressal mechanisms were slow, manual, and inaccessible to rural beneficiaries</w:t>
      </w:r>
    </w:p>
    <w:p>
      <w:pPr>
        <w:pStyle w:val="ListParagraph"/>
        <w:numPr>
          <w:ilvl w:val="0"/>
          <w:numId w:val="2"/>
        </w:numPr>
        <w:spacing w:before="40" w:after="40"/>
      </w:pPr>
      <w:r>
        <w:rPr>
          <w:rFonts w:ascii="Arial" w:cs="Arial" w:eastAsia="Arial" w:hAnsi="Arial"/>
          <w:color w:val="444444"/>
          <w:sz w:val="21"/>
          <w:szCs w:val="21"/>
        </w:rPr>
        <w:t xml:space="preserve">Central government had limited visibility into state-level distribution performance</w:t>
      </w:r>
    </w:p>
    <w:p>
      <w:pPr>
        <w:spacing w:before="0" w:after="60"/>
      </w:pPr>
      <w:r>
        <w:t xml:space="preserve"/>
      </w:r>
    </w:p>
    <w:p>
      <w:pPr>
        <w:spacing w:before="200" w:after="80"/>
      </w:pPr>
      <w:r>
        <w:rPr>
          <w:rFonts w:ascii="Arial" w:cs="Arial" w:eastAsia="Arial" w:hAnsi="Arial"/>
          <w:b/>
          <w:bCs/>
          <w:color w:val="2E75B6"/>
          <w:sz w:val="24"/>
          <w:szCs w:val="24"/>
        </w:rPr>
        <w:t xml:space="preserve">2.3 Financial Impact</w:t>
      </w:r>
    </w:p>
    <w:p>
      <w:pPr>
        <w:pStyle w:val="ListParagraph"/>
        <w:numPr>
          <w:ilvl w:val="0"/>
          <w:numId w:val="2"/>
        </w:numPr>
        <w:spacing w:before="40" w:after="40"/>
      </w:pPr>
      <w:r>
        <w:rPr>
          <w:rFonts w:ascii="Arial" w:cs="Arial" w:eastAsia="Arial" w:hAnsi="Arial"/>
          <w:color w:val="444444"/>
          <w:sz w:val="21"/>
          <w:szCs w:val="21"/>
        </w:rPr>
        <w:t xml:space="preserve">Subsidy leakage estimated at 40–50% of total allocation in many states before digitisation</w:t>
      </w:r>
    </w:p>
    <w:p>
      <w:pPr>
        <w:pStyle w:val="ListParagraph"/>
        <w:numPr>
          <w:ilvl w:val="0"/>
          <w:numId w:val="2"/>
        </w:numPr>
        <w:spacing w:before="40" w:after="40"/>
      </w:pPr>
      <w:r>
        <w:rPr>
          <w:rFonts w:ascii="Arial" w:cs="Arial" w:eastAsia="Arial" w:hAnsi="Arial"/>
          <w:color w:val="444444"/>
          <w:sz w:val="21"/>
          <w:szCs w:val="21"/>
        </w:rPr>
        <w:t xml:space="preserve">Fake and duplicate ration cards siphoned resources meant for Below Poverty Line (BPL) families</w:t>
      </w:r>
    </w:p>
    <w:p>
      <w:pPr>
        <w:pStyle w:val="ListParagraph"/>
        <w:numPr>
          <w:ilvl w:val="0"/>
          <w:numId w:val="2"/>
        </w:numPr>
        <w:spacing w:before="40" w:after="40"/>
      </w:pPr>
      <w:r>
        <w:rPr>
          <w:rFonts w:ascii="Arial" w:cs="Arial" w:eastAsia="Arial" w:hAnsi="Arial"/>
          <w:color w:val="444444"/>
          <w:sz w:val="21"/>
          <w:szCs w:val="21"/>
        </w:rPr>
        <w:t xml:space="preserve">Inefficient supply chain logistics led to food grain spoilage and transit losses</w:t>
      </w:r>
    </w:p>
    <w:p>
      <w:pPr>
        <w:spacing w:before="0" w:after="60"/>
      </w:pPr>
      <w:r>
        <w:t xml:space="preserve"/>
      </w:r>
    </w:p>
    <w:p>
      <w:pPr>
        <w:spacing w:before="60" w:after="80"/>
      </w:pPr>
      <w:r>
        <w:rPr>
          <w:rFonts w:ascii="Arial" w:cs="Arial" w:eastAsia="Arial" w:hAnsi="Arial"/>
          <w:b/>
          <w:bCs/>
          <w:color w:val="1B3A6B"/>
          <w:sz w:val="21"/>
          <w:szCs w:val="21"/>
        </w:rPr>
        <w:t xml:space="preserve">These challenges demanded a transformative, technology-enabled redesign of the entire PDS ecosystem — not a piecemeal fix, but a structural overhaul spanning people, processes, and technology.</w:t>
      </w:r>
    </w:p>
    <w:p>
      <w:pPr>
        <w:spacing w:before="0" w:after="60"/>
      </w:pPr>
      <w:r>
        <w:t xml:space="preserve"/>
      </w:r>
    </w:p>
    <w:p>
      <w:pPr>
        <w:spacing w:before="0" w:after="60"/>
      </w:pPr>
      <w:r>
        <w:t xml:space="preserve"/>
      </w:r>
    </w:p>
    <w:p>
      <w:pPr>
        <w:pBdr>
          <w:bottom w:val="single" w:color="2E75B6" w:sz="12" w:space="4"/>
        </w:pBdr>
        <w:spacing w:before="300" w:after="120"/>
      </w:pPr>
      <w:r>
        <w:rPr>
          <w:rFonts w:ascii="Arial" w:cs="Arial" w:eastAsia="Arial" w:hAnsi="Arial"/>
          <w:b/>
          <w:bCs/>
          <w:color w:val="1B3A6B"/>
          <w:sz w:val="28"/>
          <w:szCs w:val="28"/>
        </w:rPr>
        <w:t xml:space="preserve">3. DIGITAL TRANSFORMATION FRAMEWORK</w:t>
      </w:r>
    </w:p>
    <w:p>
      <w:pPr>
        <w:spacing w:before="60" w:after="80"/>
      </w:pPr>
      <w:r>
        <w:rPr>
          <w:rFonts w:ascii="Arial" w:cs="Arial" w:eastAsia="Arial" w:hAnsi="Arial"/>
          <w:b w:val="false"/>
          <w:bCs w:val="false"/>
          <w:color w:val="444444"/>
          <w:sz w:val="21"/>
          <w:szCs w:val="21"/>
        </w:rPr>
        <w:t xml:space="preserve">The transformation was structured around four strategic pillars, aligned with EY's transformation delivery methodology: Strategy, People, Process, and Technology.</w:t>
      </w:r>
    </w:p>
    <w:p>
      <w:pPr>
        <w:spacing w:before="0" w:after="60"/>
      </w:pPr>
      <w:r>
        <w:t xml:space="preserve"/>
      </w:r>
    </w:p>
    <w:p>
      <w:pPr>
        <w:spacing w:before="200" w:after="80"/>
      </w:pPr>
      <w:r>
        <w:rPr>
          <w:rFonts w:ascii="Arial" w:cs="Arial" w:eastAsia="Arial" w:hAnsi="Arial"/>
          <w:b/>
          <w:bCs/>
          <w:color w:val="2E75B6"/>
          <w:sz w:val="24"/>
          <w:szCs w:val="24"/>
        </w:rPr>
        <w:t xml:space="preserve">Pillar 1 — Strategy &amp; Vision</w:t>
      </w:r>
    </w:p>
    <w:p>
      <w:pPr>
        <w:pStyle w:val="ListParagraph"/>
        <w:numPr>
          <w:ilvl w:val="0"/>
          <w:numId w:val="2"/>
        </w:numPr>
        <w:spacing w:before="40" w:after="40"/>
      </w:pPr>
      <w:r>
        <w:rPr>
          <w:rFonts w:ascii="Arial" w:cs="Arial" w:eastAsia="Arial" w:hAnsi="Arial"/>
          <w:b/>
          <w:bCs/>
          <w:color w:val="1B3A6B"/>
          <w:sz w:val="21"/>
          <w:szCs w:val="21"/>
        </w:rPr>
        <w:t xml:space="preserve">National Food Security Act (NFSA) 2013 provided the legal framework for reform: </w:t>
      </w:r>
      <w:r>
        <w:rPr>
          <w:rFonts w:ascii="Arial" w:cs="Arial" w:eastAsia="Arial" w:hAnsi="Arial"/>
          <w:color w:val="444444"/>
          <w:sz w:val="21"/>
          <w:szCs w:val="21"/>
        </w:rPr>
        <w:t xml:space="preserve">Mandate</w:t>
      </w:r>
    </w:p>
    <w:p>
      <w:pPr>
        <w:pStyle w:val="ListParagraph"/>
        <w:numPr>
          <w:ilvl w:val="0"/>
          <w:numId w:val="2"/>
        </w:numPr>
        <w:spacing w:before="40" w:after="40"/>
      </w:pPr>
      <w:r>
        <w:rPr>
          <w:rFonts w:ascii="Arial" w:cs="Arial" w:eastAsia="Arial" w:hAnsi="Arial"/>
          <w:b/>
          <w:bCs/>
          <w:color w:val="1B3A6B"/>
          <w:sz w:val="21"/>
          <w:szCs w:val="21"/>
        </w:rPr>
        <w:t xml:space="preserve">Achieve end-to-end computerisation of all TPDS operations across India: </w:t>
      </w:r>
      <w:r>
        <w:rPr>
          <w:rFonts w:ascii="Arial" w:cs="Arial" w:eastAsia="Arial" w:hAnsi="Arial"/>
          <w:color w:val="444444"/>
          <w:sz w:val="21"/>
          <w:szCs w:val="21"/>
        </w:rPr>
        <w:t xml:space="preserve">Mission</w:t>
      </w:r>
    </w:p>
    <w:p>
      <w:pPr>
        <w:pStyle w:val="ListParagraph"/>
        <w:numPr>
          <w:ilvl w:val="0"/>
          <w:numId w:val="2"/>
        </w:numPr>
        <w:spacing w:before="40" w:after="40"/>
      </w:pPr>
      <w:r>
        <w:rPr>
          <w:rFonts w:ascii="Arial" w:cs="Arial" w:eastAsia="Arial" w:hAnsi="Arial"/>
          <w:b/>
          <w:bCs/>
          <w:color w:val="1B3A6B"/>
          <w:sz w:val="21"/>
          <w:szCs w:val="21"/>
        </w:rPr>
        <w:t xml:space="preserve">Ministry of Food &amp; Public Distribution led coordination across 36 states/UTs with a unified transformation roadmap: </w:t>
      </w:r>
      <w:r>
        <w:rPr>
          <w:rFonts w:ascii="Arial" w:cs="Arial" w:eastAsia="Arial" w:hAnsi="Arial"/>
          <w:color w:val="444444"/>
          <w:sz w:val="21"/>
          <w:szCs w:val="21"/>
        </w:rPr>
        <w:t xml:space="preserve">Governance</w:t>
      </w:r>
    </w:p>
    <w:p>
      <w:pPr>
        <w:pStyle w:val="ListParagraph"/>
        <w:numPr>
          <w:ilvl w:val="0"/>
          <w:numId w:val="2"/>
        </w:numPr>
        <w:spacing w:before="40" w:after="40"/>
      </w:pPr>
      <w:r>
        <w:rPr>
          <w:rFonts w:ascii="Arial" w:cs="Arial" w:eastAsia="Arial" w:hAnsi="Arial"/>
          <w:b/>
          <w:bCs/>
          <w:color w:val="1B3A6B"/>
          <w:sz w:val="21"/>
          <w:szCs w:val="21"/>
        </w:rPr>
        <w:t xml:space="preserve">Defined clear KPIs: Aadhaar seeding rate, ePoS deployment, beneficiary verification coverage: </w:t>
      </w:r>
      <w:r>
        <w:rPr>
          <w:rFonts w:ascii="Arial" w:cs="Arial" w:eastAsia="Arial" w:hAnsi="Arial"/>
          <w:color w:val="444444"/>
          <w:sz w:val="21"/>
          <w:szCs w:val="21"/>
        </w:rPr>
        <w:t xml:space="preserve">Metrics</w:t>
      </w:r>
    </w:p>
    <w:p>
      <w:pPr>
        <w:spacing w:before="0" w:after="60"/>
      </w:pPr>
      <w:r>
        <w:t xml:space="preserve"/>
      </w:r>
    </w:p>
    <w:p>
      <w:pPr>
        <w:spacing w:before="200" w:after="80"/>
      </w:pPr>
      <w:r>
        <w:rPr>
          <w:rFonts w:ascii="Arial" w:cs="Arial" w:eastAsia="Arial" w:hAnsi="Arial"/>
          <w:b/>
          <w:bCs/>
          <w:color w:val="2E75B6"/>
          <w:sz w:val="24"/>
          <w:szCs w:val="24"/>
        </w:rPr>
        <w:t xml:space="preserve">Pillar 2 — People &amp; Change Management</w:t>
      </w:r>
    </w:p>
    <w:p>
      <w:pPr>
        <w:pStyle w:val="ListParagraph"/>
        <w:numPr>
          <w:ilvl w:val="0"/>
          <w:numId w:val="2"/>
        </w:numPr>
        <w:spacing w:before="40" w:after="40"/>
      </w:pPr>
      <w:r>
        <w:rPr>
          <w:rFonts w:ascii="Arial" w:cs="Arial" w:eastAsia="Arial" w:hAnsi="Arial"/>
          <w:color w:val="444444"/>
          <w:sz w:val="21"/>
          <w:szCs w:val="21"/>
        </w:rPr>
        <w:t xml:space="preserve">Training of over 5 lakh FPS dealers on ePoS device operation and biometric authentication protocols</w:t>
      </w:r>
    </w:p>
    <w:p>
      <w:pPr>
        <w:pStyle w:val="ListParagraph"/>
        <w:numPr>
          <w:ilvl w:val="0"/>
          <w:numId w:val="2"/>
        </w:numPr>
        <w:spacing w:before="40" w:after="40"/>
      </w:pPr>
      <w:r>
        <w:rPr>
          <w:rFonts w:ascii="Arial" w:cs="Arial" w:eastAsia="Arial" w:hAnsi="Arial"/>
          <w:color w:val="444444"/>
          <w:sz w:val="21"/>
          <w:szCs w:val="21"/>
        </w:rPr>
        <w:t xml:space="preserve">Beneficiary awareness campaigns launched in local languages across rural and urban areas</w:t>
      </w:r>
    </w:p>
    <w:p>
      <w:pPr>
        <w:pStyle w:val="ListParagraph"/>
        <w:numPr>
          <w:ilvl w:val="0"/>
          <w:numId w:val="2"/>
        </w:numPr>
        <w:spacing w:before="40" w:after="40"/>
      </w:pPr>
      <w:r>
        <w:rPr>
          <w:rFonts w:ascii="Arial" w:cs="Arial" w:eastAsia="Arial" w:hAnsi="Arial"/>
          <w:color w:val="444444"/>
          <w:sz w:val="21"/>
          <w:szCs w:val="21"/>
        </w:rPr>
        <w:t xml:space="preserve">State-level nodal officers appointed to drive adoption and resolve on-ground implementation issues</w:t>
      </w:r>
    </w:p>
    <w:p>
      <w:pPr>
        <w:pStyle w:val="ListParagraph"/>
        <w:numPr>
          <w:ilvl w:val="0"/>
          <w:numId w:val="2"/>
        </w:numPr>
        <w:spacing w:before="40" w:after="40"/>
      </w:pPr>
      <w:r>
        <w:rPr>
          <w:rFonts w:ascii="Arial" w:cs="Arial" w:eastAsia="Arial" w:hAnsi="Arial"/>
          <w:color w:val="444444"/>
          <w:sz w:val="21"/>
          <w:szCs w:val="21"/>
        </w:rPr>
        <w:t xml:space="preserve">Helplines and grievance portals established to manage beneficiary concerns during transition</w:t>
      </w:r>
    </w:p>
    <w:p>
      <w:pPr>
        <w:spacing w:before="0" w:after="60"/>
      </w:pPr>
      <w:r>
        <w:t xml:space="preserve"/>
      </w:r>
    </w:p>
    <w:p>
      <w:pPr>
        <w:spacing w:before="200" w:after="80"/>
      </w:pPr>
      <w:r>
        <w:rPr>
          <w:rFonts w:ascii="Arial" w:cs="Arial" w:eastAsia="Arial" w:hAnsi="Arial"/>
          <w:b/>
          <w:bCs/>
          <w:color w:val="2E75B6"/>
          <w:sz w:val="24"/>
          <w:szCs w:val="24"/>
        </w:rPr>
        <w:t xml:space="preserve">Pillar 3 — Process Redesign</w:t>
      </w:r>
    </w:p>
    <w:p>
      <w:pPr>
        <w:pStyle w:val="ListParagraph"/>
        <w:numPr>
          <w:ilvl w:val="0"/>
          <w:numId w:val="2"/>
        </w:numPr>
        <w:spacing w:before="40" w:after="40"/>
      </w:pPr>
      <w:r>
        <w:rPr>
          <w:rFonts w:ascii="Arial" w:cs="Arial" w:eastAsia="Arial" w:hAnsi="Arial"/>
          <w:color w:val="444444"/>
          <w:sz w:val="21"/>
          <w:szCs w:val="21"/>
        </w:rPr>
        <w:t xml:space="preserve">Ration card issuance moved from manual district offices to centralised digital portals with Aadhaar seeding</w:t>
      </w:r>
    </w:p>
    <w:p>
      <w:pPr>
        <w:pStyle w:val="ListParagraph"/>
        <w:numPr>
          <w:ilvl w:val="0"/>
          <w:numId w:val="2"/>
        </w:numPr>
        <w:spacing w:before="40" w:after="40"/>
      </w:pPr>
      <w:r>
        <w:rPr>
          <w:rFonts w:ascii="Arial" w:cs="Arial" w:eastAsia="Arial" w:hAnsi="Arial"/>
          <w:color w:val="444444"/>
          <w:sz w:val="21"/>
          <w:szCs w:val="21"/>
        </w:rPr>
        <w:t xml:space="preserve">Beneficiary authentication redesigned from paper-based to real-time biometric verification at FPS</w:t>
      </w:r>
    </w:p>
    <w:p>
      <w:pPr>
        <w:pStyle w:val="ListParagraph"/>
        <w:numPr>
          <w:ilvl w:val="0"/>
          <w:numId w:val="2"/>
        </w:numPr>
        <w:spacing w:before="40" w:after="40"/>
      </w:pPr>
      <w:r>
        <w:rPr>
          <w:rFonts w:ascii="Arial" w:cs="Arial" w:eastAsia="Arial" w:hAnsi="Arial"/>
          <w:color w:val="444444"/>
          <w:sz w:val="21"/>
          <w:szCs w:val="21"/>
        </w:rPr>
        <w:t xml:space="preserve">Supply chain management overhauled with end-to-end digitisation from FCI procurement to last-mile delivery</w:t>
      </w:r>
    </w:p>
    <w:p>
      <w:pPr>
        <w:pStyle w:val="ListParagraph"/>
        <w:numPr>
          <w:ilvl w:val="0"/>
          <w:numId w:val="2"/>
        </w:numPr>
        <w:spacing w:before="40" w:after="40"/>
      </w:pPr>
      <w:r>
        <w:rPr>
          <w:rFonts w:ascii="Arial" w:cs="Arial" w:eastAsia="Arial" w:hAnsi="Arial"/>
          <w:color w:val="444444"/>
          <w:sz w:val="21"/>
          <w:szCs w:val="21"/>
        </w:rPr>
        <w:t xml:space="preserve">Grievance redressal process streamlined via online portals, SMS alerts, and mobile applications</w:t>
      </w:r>
    </w:p>
    <w:p>
      <w:pPr>
        <w:spacing w:before="0" w:after="60"/>
      </w:pPr>
      <w:r>
        <w:t xml:space="preserve"/>
      </w:r>
    </w:p>
    <w:p>
      <w:pPr>
        <w:spacing w:before="200" w:after="80"/>
      </w:pPr>
      <w:r>
        <w:rPr>
          <w:rFonts w:ascii="Arial" w:cs="Arial" w:eastAsia="Arial" w:hAnsi="Arial"/>
          <w:b/>
          <w:bCs/>
          <w:color w:val="2E75B6"/>
          <w:sz w:val="24"/>
          <w:szCs w:val="24"/>
        </w:rPr>
        <w:t xml:space="preserve">Pillar 4 — Technology Enablement</w:t>
      </w:r>
    </w:p>
    <w:p>
      <w:pPr>
        <w:pStyle w:val="ListParagraph"/>
        <w:numPr>
          <w:ilvl w:val="0"/>
          <w:numId w:val="2"/>
        </w:numPr>
        <w:spacing w:before="40" w:after="40"/>
      </w:pPr>
      <w:r>
        <w:rPr>
          <w:rFonts w:ascii="Arial" w:cs="Arial" w:eastAsia="Arial" w:hAnsi="Arial"/>
          <w:b/>
          <w:bCs/>
          <w:color w:val="1B3A6B"/>
          <w:sz w:val="21"/>
          <w:szCs w:val="21"/>
        </w:rPr>
        <w:t xml:space="preserve">Biometric authentication (fingerprint + IRIS) linked to UIDAI for real-time identity verification: </w:t>
      </w:r>
      <w:r>
        <w:rPr>
          <w:rFonts w:ascii="Arial" w:cs="Arial" w:eastAsia="Arial" w:hAnsi="Arial"/>
          <w:color w:val="444444"/>
          <w:sz w:val="21"/>
          <w:szCs w:val="21"/>
        </w:rPr>
        <w:t xml:space="preserve">Aadhaar Integration</w:t>
      </w:r>
    </w:p>
    <w:p>
      <w:pPr>
        <w:pStyle w:val="ListParagraph"/>
        <w:numPr>
          <w:ilvl w:val="0"/>
          <w:numId w:val="2"/>
        </w:numPr>
        <w:spacing w:before="40" w:after="40"/>
      </w:pPr>
      <w:r>
        <w:rPr>
          <w:rFonts w:ascii="Arial" w:cs="Arial" w:eastAsia="Arial" w:hAnsi="Arial"/>
          <w:b/>
          <w:bCs/>
          <w:color w:val="1B3A6B"/>
          <w:sz w:val="21"/>
          <w:szCs w:val="21"/>
        </w:rPr>
        <w:t xml:space="preserve">5.33 lakh electronic Point of Sale devices deployed at fair price shops with geo-tagging capability: </w:t>
      </w:r>
      <w:r>
        <w:rPr>
          <w:rFonts w:ascii="Arial" w:cs="Arial" w:eastAsia="Arial" w:hAnsi="Arial"/>
          <w:color w:val="444444"/>
          <w:sz w:val="21"/>
          <w:szCs w:val="21"/>
        </w:rPr>
        <w:t xml:space="preserve">ePoS Devices</w:t>
      </w:r>
    </w:p>
    <w:p>
      <w:pPr>
        <w:pStyle w:val="ListParagraph"/>
        <w:numPr>
          <w:ilvl w:val="0"/>
          <w:numId w:val="2"/>
        </w:numPr>
        <w:spacing w:before="40" w:after="40"/>
      </w:pPr>
      <w:r>
        <w:rPr>
          <w:rFonts w:ascii="Arial" w:cs="Arial" w:eastAsia="Arial" w:hAnsi="Arial"/>
          <w:b/>
          <w:bCs/>
          <w:color w:val="1B3A6B"/>
          <w:sz w:val="21"/>
          <w:szCs w:val="21"/>
        </w:rPr>
        <w:t xml:space="preserve">FCI vehicle location tracking system integrated with railways for real-time shipment monitoring: </w:t>
      </w:r>
      <w:r>
        <w:rPr>
          <w:rFonts w:ascii="Arial" w:cs="Arial" w:eastAsia="Arial" w:hAnsi="Arial"/>
          <w:color w:val="444444"/>
          <w:sz w:val="21"/>
          <w:szCs w:val="21"/>
        </w:rPr>
        <w:t xml:space="preserve">Supply Chain IT</w:t>
      </w:r>
    </w:p>
    <w:p>
      <w:pPr>
        <w:pStyle w:val="ListParagraph"/>
        <w:numPr>
          <w:ilvl w:val="0"/>
          <w:numId w:val="2"/>
        </w:numPr>
        <w:spacing w:before="40" w:after="40"/>
      </w:pPr>
      <w:r>
        <w:rPr>
          <w:rFonts w:ascii="Arial" w:cs="Arial" w:eastAsia="Arial" w:hAnsi="Arial"/>
          <w:b/>
          <w:bCs/>
          <w:color w:val="1B3A6B"/>
          <w:sz w:val="21"/>
          <w:szCs w:val="21"/>
        </w:rPr>
        <w:t xml:space="preserve">Integrated IT platform enabling any beneficiary to collect rations from any FPS across India: </w:t>
      </w:r>
      <w:r>
        <w:rPr>
          <w:rFonts w:ascii="Arial" w:cs="Arial" w:eastAsia="Arial" w:hAnsi="Arial"/>
          <w:color w:val="444444"/>
          <w:sz w:val="21"/>
          <w:szCs w:val="21"/>
        </w:rPr>
        <w:t xml:space="preserve">ONORC Platform</w:t>
      </w:r>
    </w:p>
    <w:p>
      <w:pPr>
        <w:pStyle w:val="ListParagraph"/>
        <w:numPr>
          <w:ilvl w:val="0"/>
          <w:numId w:val="2"/>
        </w:numPr>
        <w:spacing w:before="40" w:after="40"/>
      </w:pPr>
      <w:r>
        <w:rPr>
          <w:rFonts w:ascii="Arial" w:cs="Arial" w:eastAsia="Arial" w:hAnsi="Arial"/>
          <w:b/>
          <w:bCs/>
          <w:color w:val="1B3A6B"/>
          <w:sz w:val="21"/>
          <w:szCs w:val="21"/>
        </w:rPr>
        <w:t xml:space="preserve">Online and mobile platforms for entitlement checks, grievance filing, and SMS notifications: </w:t>
      </w:r>
      <w:r>
        <w:rPr>
          <w:rFonts w:ascii="Arial" w:cs="Arial" w:eastAsia="Arial" w:hAnsi="Arial"/>
          <w:color w:val="444444"/>
          <w:sz w:val="21"/>
          <w:szCs w:val="21"/>
        </w:rPr>
        <w:t xml:space="preserve">Beneficiary Portals</w:t>
      </w:r>
    </w:p>
    <w:p>
      <w:pPr>
        <w:spacing w:before="0" w:after="60"/>
      </w:pPr>
      <w:r>
        <w:t xml:space="preserve"/>
      </w:r>
    </w:p>
    <w:p>
      <w:pPr>
        <w:spacing w:before="0" w:after="60"/>
      </w:pPr>
      <w:r>
        <w:t xml:space="preserve"/>
      </w:r>
    </w:p>
    <w:p>
      <w:pPr>
        <w:pBdr>
          <w:bottom w:val="single" w:color="2E75B6" w:sz="12" w:space="4"/>
        </w:pBdr>
        <w:spacing w:before="300" w:after="120"/>
      </w:pPr>
      <w:r>
        <w:rPr>
          <w:rFonts w:ascii="Arial" w:cs="Arial" w:eastAsia="Arial" w:hAnsi="Arial"/>
          <w:b/>
          <w:bCs/>
          <w:color w:val="1B3A6B"/>
          <w:sz w:val="28"/>
          <w:szCs w:val="28"/>
        </w:rPr>
        <w:t xml:space="preserve">4. BEFORE VS. AFTER: TRANSFORMATION SNAPSHOT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3280"/>
            <w:tcBorders>
              <w:top w:val="none" w:color="FFFFFF" w:sz="0"/>
              <w:left w:val="none" w:color="FFFFFF" w:sz="0"/>
              <w:bottom w:val="none" w:color="FFFFFF" w:sz="0"/>
              <w:right w:val="none" w:color="FFFFFF" w:sz="0"/>
            </w:tcBorders>
            <w:shd w:fill="C0392B" w:val="clear"/>
            <w:tcMar>
              <w:top w:type="dxa" w:w="100"/>
              <w:left w:type="dxa" w:w="140"/>
              <w:bottom w:type="dxa" w:w="100"/>
              <w:right w:type="dxa" w:w="140"/>
            </w:tcMar>
          </w:tcPr>
          <w:p>
            <w:r>
              <w:rPr>
                <w:rFonts w:ascii="Arial" w:cs="Arial" w:eastAsia="Arial" w:hAnsi="Arial"/>
                <w:b/>
                <w:bCs/>
                <w:color w:val="FFFFFF"/>
                <w:sz w:val="20"/>
                <w:szCs w:val="20"/>
              </w:rPr>
              <w:t xml:space="preserve">Before Transformation</w:t>
            </w:r>
          </w:p>
        </w:tc>
        <w:tc>
          <w:tcPr>
            <w:tcW w:type="dxa" w:w="3280"/>
            <w:tcBorders>
              <w:top w:val="none" w:color="FFFFFF" w:sz="0"/>
              <w:left w:val="none" w:color="FFFFFF" w:sz="0"/>
              <w:bottom w:val="none" w:color="FFFFFF" w:sz="0"/>
              <w:right w:val="none" w:color="FFFFFF" w:sz="0"/>
            </w:tcBorders>
            <w:shd w:fill="1E8449" w:val="clear"/>
            <w:tcMar>
              <w:top w:type="dxa" w:w="100"/>
              <w:left w:type="dxa" w:w="140"/>
              <w:bottom w:type="dxa" w:w="100"/>
              <w:right w:type="dxa" w:w="140"/>
            </w:tcMar>
          </w:tcPr>
          <w:p>
            <w:r>
              <w:rPr>
                <w:rFonts w:ascii="Arial" w:cs="Arial" w:eastAsia="Arial" w:hAnsi="Arial"/>
                <w:b/>
                <w:bCs/>
                <w:color w:val="FFFFFF"/>
                <w:sz w:val="20"/>
                <w:szCs w:val="20"/>
              </w:rPr>
              <w:t xml:space="preserve">After Transformation</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bCs/>
                <w:color w:val="1B3A6B"/>
                <w:sz w:val="19"/>
                <w:szCs w:val="19"/>
              </w:rPr>
              <w:t xml:space="preserve">Beneficiary ID</w:t>
            </w:r>
          </w:p>
        </w:tc>
        <w:tc>
          <w:tcPr>
            <w:tcW w:type="dxa" w:w="328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r>
              <w:rPr>
                <w:rFonts w:ascii="Arial" w:cs="Arial" w:eastAsia="Arial" w:hAnsi="Arial"/>
                <w:color w:val="C0392B"/>
                <w:sz w:val="19"/>
                <w:szCs w:val="19"/>
              </w:rPr>
              <w:t xml:space="preserve">Manual ration card, paper-based, prone to duplication</w:t>
            </w:r>
          </w:p>
        </w:tc>
        <w:tc>
          <w:tcPr>
            <w:tcW w:type="dxa" w:w="3280"/>
            <w:tcBorders>
              <w:top w:val="single" w:color="CCCCCC" w:sz="4"/>
              <w:left w:val="single" w:color="CCCCCC" w:sz="4"/>
              <w:bottom w:val="single" w:color="CCCCCC" w:sz="4"/>
              <w:right w:val="single" w:color="CCCCCC" w:sz="4"/>
            </w:tcBorders>
            <w:shd w:fill="EAFAF1" w:val="clear"/>
            <w:tcMar>
              <w:top w:type="dxa" w:w="80"/>
              <w:left w:type="dxa" w:w="140"/>
              <w:bottom w:type="dxa" w:w="80"/>
              <w:right w:type="dxa" w:w="140"/>
            </w:tcMar>
          </w:tcPr>
          <w:p>
            <w:r>
              <w:rPr>
                <w:rFonts w:ascii="Arial" w:cs="Arial" w:eastAsia="Arial" w:hAnsi="Arial"/>
                <w:color w:val="1E8449"/>
                <w:sz w:val="19"/>
                <w:szCs w:val="19"/>
              </w:rPr>
              <w:t xml:space="preserve">Aadhaar-linked digital ration card with biometric verification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B3A6B"/>
                <w:sz w:val="19"/>
                <w:szCs w:val="19"/>
              </w:rPr>
              <w:t xml:space="preserve">Authentication</w:t>
            </w:r>
          </w:p>
        </w:tc>
        <w:tc>
          <w:tcPr>
            <w:tcW w:type="dxa" w:w="3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C0392B"/>
                <w:sz w:val="19"/>
                <w:szCs w:val="19"/>
              </w:rPr>
              <w:t xml:space="preserve">Dealer's discretion — no verification system</w:t>
            </w:r>
          </w:p>
        </w:tc>
        <w:tc>
          <w:tcPr>
            <w:tcW w:type="dxa" w:w="3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E8449"/>
                <w:sz w:val="19"/>
                <w:szCs w:val="19"/>
              </w:rPr>
              <w:t xml:space="preserve">Real-time biometric (fingerprint/IRIS) via ePoS at FPS</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bCs/>
                <w:color w:val="1B3A6B"/>
                <w:sz w:val="19"/>
                <w:szCs w:val="19"/>
              </w:rPr>
              <w:t xml:space="preserve">Ration Card Records</w:t>
            </w:r>
          </w:p>
        </w:tc>
        <w:tc>
          <w:tcPr>
            <w:tcW w:type="dxa" w:w="328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r>
              <w:rPr>
                <w:rFonts w:ascii="Arial" w:cs="Arial" w:eastAsia="Arial" w:hAnsi="Arial"/>
                <w:color w:val="C0392B"/>
                <w:sz w:val="19"/>
                <w:szCs w:val="19"/>
              </w:rPr>
              <w:t xml:space="preserve">State-level siloed databases, inconsistent data</w:t>
            </w:r>
          </w:p>
        </w:tc>
        <w:tc>
          <w:tcPr>
            <w:tcW w:type="dxa" w:w="3280"/>
            <w:tcBorders>
              <w:top w:val="single" w:color="CCCCCC" w:sz="4"/>
              <w:left w:val="single" w:color="CCCCCC" w:sz="4"/>
              <w:bottom w:val="single" w:color="CCCCCC" w:sz="4"/>
              <w:right w:val="single" w:color="CCCCCC" w:sz="4"/>
            </w:tcBorders>
            <w:shd w:fill="EAFAF1" w:val="clear"/>
            <w:tcMar>
              <w:top w:type="dxa" w:w="80"/>
              <w:left w:type="dxa" w:w="140"/>
              <w:bottom w:type="dxa" w:w="80"/>
              <w:right w:type="dxa" w:w="140"/>
            </w:tcMar>
          </w:tcPr>
          <w:p>
            <w:r>
              <w:rPr>
                <w:rFonts w:ascii="Arial" w:cs="Arial" w:eastAsia="Arial" w:hAnsi="Arial"/>
                <w:color w:val="1E8449"/>
                <w:sz w:val="19"/>
                <w:szCs w:val="19"/>
              </w:rPr>
              <w:t xml:space="preserve">Centralised digital database — 20.4 crore cards, 99.8% Aadhaar-linked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B3A6B"/>
                <w:sz w:val="19"/>
                <w:szCs w:val="19"/>
              </w:rPr>
              <w:t xml:space="preserve">Supply Chain Visibility</w:t>
            </w:r>
          </w:p>
        </w:tc>
        <w:tc>
          <w:tcPr>
            <w:tcW w:type="dxa" w:w="3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C0392B"/>
                <w:sz w:val="19"/>
                <w:szCs w:val="19"/>
              </w:rPr>
              <w:t xml:space="preserve">Manual records, no real-time tracking</w:t>
            </w:r>
          </w:p>
        </w:tc>
        <w:tc>
          <w:tcPr>
            <w:tcW w:type="dxa" w:w="3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E8449"/>
                <w:sz w:val="19"/>
                <w:szCs w:val="19"/>
              </w:rPr>
              <w:t xml:space="preserve">End-to-end digital tracking from FCI to last-mile delivery</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bCs/>
                <w:color w:val="1B3A6B"/>
                <w:sz w:val="19"/>
                <w:szCs w:val="19"/>
              </w:rPr>
              <w:t xml:space="preserve">Portability</w:t>
            </w:r>
          </w:p>
        </w:tc>
        <w:tc>
          <w:tcPr>
            <w:tcW w:type="dxa" w:w="328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r>
              <w:rPr>
                <w:rFonts w:ascii="Arial" w:cs="Arial" w:eastAsia="Arial" w:hAnsi="Arial"/>
                <w:color w:val="C0392B"/>
                <w:sz w:val="19"/>
                <w:szCs w:val="19"/>
              </w:rPr>
              <w:t xml:space="preserve">Beneficiary locked to one FPS in home district</w:t>
            </w:r>
          </w:p>
        </w:tc>
        <w:tc>
          <w:tcPr>
            <w:tcW w:type="dxa" w:w="3280"/>
            <w:tcBorders>
              <w:top w:val="single" w:color="CCCCCC" w:sz="4"/>
              <w:left w:val="single" w:color="CCCCCC" w:sz="4"/>
              <w:bottom w:val="single" w:color="CCCCCC" w:sz="4"/>
              <w:right w:val="single" w:color="CCCCCC" w:sz="4"/>
            </w:tcBorders>
            <w:shd w:fill="EAFAF1" w:val="clear"/>
            <w:tcMar>
              <w:top w:type="dxa" w:w="80"/>
              <w:left w:type="dxa" w:w="140"/>
              <w:bottom w:type="dxa" w:w="80"/>
              <w:right w:type="dxa" w:w="140"/>
            </w:tcMar>
          </w:tcPr>
          <w:p>
            <w:r>
              <w:rPr>
                <w:rFonts w:ascii="Arial" w:cs="Arial" w:eastAsia="Arial" w:hAnsi="Arial"/>
                <w:color w:val="1E8449"/>
                <w:sz w:val="19"/>
                <w:szCs w:val="19"/>
              </w:rPr>
              <w:t xml:space="preserve">ONORC enables access from any FPS across all 36 states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B3A6B"/>
                <w:sz w:val="19"/>
                <w:szCs w:val="19"/>
              </w:rPr>
              <w:t xml:space="preserve">Grievance Redressal</w:t>
            </w:r>
          </w:p>
        </w:tc>
        <w:tc>
          <w:tcPr>
            <w:tcW w:type="dxa" w:w="3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C0392B"/>
                <w:sz w:val="19"/>
                <w:szCs w:val="19"/>
              </w:rPr>
              <w:t xml:space="preserve">Manual, weeks-long process with no tracking</w:t>
            </w:r>
          </w:p>
        </w:tc>
        <w:tc>
          <w:tcPr>
            <w:tcW w:type="dxa" w:w="3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E8449"/>
                <w:sz w:val="19"/>
                <w:szCs w:val="19"/>
              </w:rPr>
              <w:t xml:space="preserve">Online portals with SMS alerts and digital acknowledgements</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tcPr>
          <w:p>
            <w:r>
              <w:rPr>
                <w:rFonts w:ascii="Arial" w:cs="Arial" w:eastAsia="Arial" w:hAnsi="Arial"/>
                <w:b/>
                <w:bCs/>
                <w:color w:val="1B3A6B"/>
                <w:sz w:val="19"/>
                <w:szCs w:val="19"/>
              </w:rPr>
              <w:t xml:space="preserve">Fraud &amp; Leakage</w:t>
            </w:r>
          </w:p>
        </w:tc>
        <w:tc>
          <w:tcPr>
            <w:tcW w:type="dxa" w:w="328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tcPr>
          <w:p>
            <w:r>
              <w:rPr>
                <w:rFonts w:ascii="Arial" w:cs="Arial" w:eastAsia="Arial" w:hAnsi="Arial"/>
                <w:color w:val="C0392B"/>
                <w:sz w:val="19"/>
                <w:szCs w:val="19"/>
              </w:rPr>
              <w:t xml:space="preserve">~40–50% leakage estimated in several states</w:t>
            </w:r>
          </w:p>
        </w:tc>
        <w:tc>
          <w:tcPr>
            <w:tcW w:type="dxa" w:w="3280"/>
            <w:tcBorders>
              <w:top w:val="single" w:color="CCCCCC" w:sz="4"/>
              <w:left w:val="single" w:color="CCCCCC" w:sz="4"/>
              <w:bottom w:val="single" w:color="CCCCCC" w:sz="4"/>
              <w:right w:val="single" w:color="CCCCCC" w:sz="4"/>
            </w:tcBorders>
            <w:shd w:fill="EAFAF1" w:val="clear"/>
            <w:tcMar>
              <w:top w:type="dxa" w:w="80"/>
              <w:left w:type="dxa" w:w="140"/>
              <w:bottom w:type="dxa" w:w="80"/>
              <w:right w:type="dxa" w:w="140"/>
            </w:tcMar>
          </w:tcPr>
          <w:p>
            <w:r>
              <w:rPr>
                <w:rFonts w:ascii="Arial" w:cs="Arial" w:eastAsia="Arial" w:hAnsi="Arial"/>
                <w:color w:val="1E8449"/>
                <w:sz w:val="19"/>
                <w:szCs w:val="19"/>
              </w:rPr>
              <w:t xml:space="preserve">5.8 crore fake cards removed; 98% distribution via Aadhaar auth</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B3A6B"/>
                <w:sz w:val="19"/>
                <w:szCs w:val="19"/>
              </w:rPr>
              <w:t xml:space="preserve">Government Oversight</w:t>
            </w:r>
          </w:p>
        </w:tc>
        <w:tc>
          <w:tcPr>
            <w:tcW w:type="dxa" w:w="3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C0392B"/>
                <w:sz w:val="19"/>
                <w:szCs w:val="19"/>
              </w:rPr>
              <w:t xml:space="preserve">No centralised real-time dashboard</w:t>
            </w:r>
          </w:p>
        </w:tc>
        <w:tc>
          <w:tcPr>
            <w:tcW w:type="dxa" w:w="3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E8449"/>
                <w:sz w:val="19"/>
                <w:szCs w:val="19"/>
              </w:rPr>
              <w:t xml:space="preserve">Real-time monitoring dashboards at state and central level</w:t>
            </w:r>
          </w:p>
        </w:tc>
      </w:tr>
    </w:tbl>
    <w:p>
      <w:pPr>
        <w:spacing w:before="0" w:after="60"/>
      </w:pPr>
      <w:r>
        <w:t xml:space="preserve"/>
      </w:r>
    </w:p>
    <w:p>
      <w:pPr>
        <w:spacing w:before="0" w:after="60"/>
      </w:pPr>
      <w:r>
        <w:t xml:space="preserve"/>
      </w:r>
    </w:p>
    <w:p>
      <w:pPr>
        <w:pBdr>
          <w:bottom w:val="single" w:color="2E75B6" w:sz="12" w:space="4"/>
        </w:pBdr>
        <w:spacing w:before="300" w:after="120"/>
      </w:pPr>
      <w:r>
        <w:rPr>
          <w:rFonts w:ascii="Arial" w:cs="Arial" w:eastAsia="Arial" w:hAnsi="Arial"/>
          <w:b/>
          <w:bCs/>
          <w:color w:val="1B3A6B"/>
          <w:sz w:val="28"/>
          <w:szCs w:val="28"/>
        </w:rPr>
        <w:t xml:space="preserve">5. STAKEHOLDER ANALYSIS</w:t>
      </w:r>
    </w:p>
    <w:p>
      <w:pPr>
        <w:spacing w:before="60" w:after="80"/>
      </w:pPr>
      <w:r>
        <w:rPr>
          <w:rFonts w:ascii="Arial" w:cs="Arial" w:eastAsia="Arial" w:hAnsi="Arial"/>
          <w:b w:val="false"/>
          <w:bCs w:val="false"/>
          <w:color w:val="444444"/>
          <w:sz w:val="21"/>
          <w:szCs w:val="21"/>
        </w:rPr>
        <w:t xml:space="preserve">A successful transformation of this scale required structured engagement across a diverse stakeholder landscape. Below is a mapping of key stakeholders, their interests, and engagement strategies deployed.</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19"/>
                <w:szCs w:val="19"/>
              </w:rPr>
              <w:t xml:space="preserve">Stakeholder</w:t>
            </w:r>
          </w:p>
        </w:tc>
        <w:tc>
          <w:tcPr>
            <w:tcW w:type="dxa" w:w="20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19"/>
                <w:szCs w:val="19"/>
              </w:rPr>
              <w:t xml:space="preserve">Role</w:t>
            </w:r>
          </w:p>
        </w:tc>
        <w:tc>
          <w:tcPr>
            <w:tcW w:type="dxa" w:w="268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19"/>
                <w:szCs w:val="19"/>
              </w:rPr>
              <w:t xml:space="preserve">Key Concern</w:t>
            </w:r>
          </w:p>
        </w:tc>
        <w:tc>
          <w:tcPr>
            <w:tcW w:type="dxa" w:w="268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r>
              <w:rPr>
                <w:rFonts w:ascii="Arial" w:cs="Arial" w:eastAsia="Arial" w:hAnsi="Arial"/>
                <w:b/>
                <w:bCs/>
                <w:color w:val="FFFFFF"/>
                <w:sz w:val="19"/>
                <w:szCs w:val="19"/>
              </w:rPr>
              <w:t xml:space="preserve">Engagement Strategy</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44444"/>
                <w:sz w:val="18"/>
                <w:szCs w:val="18"/>
              </w:rPr>
              <w:t xml:space="preserve">Ministry of Food &amp; PD</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44444"/>
                <w:sz w:val="18"/>
                <w:szCs w:val="18"/>
              </w:rPr>
              <w:t xml:space="preserve">Programme Sponsor</w:t>
            </w:r>
          </w:p>
        </w:tc>
        <w:tc>
          <w:tcPr>
            <w:tcW w:type="dxa" w:w="2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44444"/>
                <w:sz w:val="18"/>
                <w:szCs w:val="18"/>
              </w:rPr>
              <w:t xml:space="preserve">Policy outcomes, cost savings, political accountability</w:t>
            </w:r>
          </w:p>
        </w:tc>
        <w:tc>
          <w:tcPr>
            <w:tcW w:type="dxa" w:w="2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44444"/>
                <w:sz w:val="18"/>
                <w:szCs w:val="18"/>
              </w:rPr>
              <w:t xml:space="preserve">Monthly performance dashboards; inter-ministerial reviews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18"/>
                <w:szCs w:val="18"/>
              </w:rPr>
              <w:t xml:space="preserve">State Governments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18"/>
                <w:szCs w:val="18"/>
              </w:rPr>
              <w:t xml:space="preserve">Implementation Partner</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18"/>
                <w:szCs w:val="18"/>
              </w:rPr>
              <w:t xml:space="preserve">Operational control, state-specific challenges</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18"/>
                <w:szCs w:val="18"/>
              </w:rPr>
              <w:t xml:space="preserve">State nodal officers; dedicated technical support teams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44444"/>
                <w:sz w:val="18"/>
                <w:szCs w:val="18"/>
              </w:rPr>
              <w:t xml:space="preserve">FPS Dealers (5.33L+)</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44444"/>
                <w:sz w:val="18"/>
                <w:szCs w:val="18"/>
              </w:rPr>
              <w:t xml:space="preserve">Last-Mile Executor</w:t>
            </w:r>
          </w:p>
        </w:tc>
        <w:tc>
          <w:tcPr>
            <w:tcW w:type="dxa" w:w="2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44444"/>
                <w:sz w:val="18"/>
                <w:szCs w:val="18"/>
              </w:rPr>
              <w:t xml:space="preserve">Device usability, connectivity, income continuity</w:t>
            </w:r>
          </w:p>
        </w:tc>
        <w:tc>
          <w:tcPr>
            <w:tcW w:type="dxa" w:w="2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44444"/>
                <w:sz w:val="18"/>
                <w:szCs w:val="18"/>
              </w:rPr>
              <w:t xml:space="preserve">Hands-on training, helpdesk support, incentive structures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18"/>
                <w:szCs w:val="18"/>
              </w:rPr>
              <w:t xml:space="preserve">Beneficiaries (80.6 Cr)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18"/>
                <w:szCs w:val="18"/>
              </w:rPr>
              <w:t xml:space="preserve">End Users</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18"/>
                <w:szCs w:val="18"/>
              </w:rPr>
              <w:t xml:space="preserve">Uninterrupted access to rations, ease of authentication</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18"/>
                <w:szCs w:val="18"/>
              </w:rPr>
              <w:t xml:space="preserve">Awareness campaigns, multilingual helplines, ONORC portability</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44444"/>
                <w:sz w:val="18"/>
                <w:szCs w:val="18"/>
              </w:rPr>
              <w:t xml:space="preserve">UIDAI</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44444"/>
                <w:sz w:val="18"/>
                <w:szCs w:val="18"/>
              </w:rPr>
              <w:t xml:space="preserve">Technology Partner</w:t>
            </w:r>
          </w:p>
        </w:tc>
        <w:tc>
          <w:tcPr>
            <w:tcW w:type="dxa" w:w="2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44444"/>
                <w:sz w:val="18"/>
                <w:szCs w:val="18"/>
              </w:rPr>
              <w:t xml:space="preserve">Aadhaar ecosystem integrity, data privacy compliance</w:t>
            </w:r>
          </w:p>
        </w:tc>
        <w:tc>
          <w:tcPr>
            <w:tcW w:type="dxa" w:w="2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44444"/>
                <w:sz w:val="18"/>
                <w:szCs w:val="18"/>
              </w:rPr>
              <w:t xml:space="preserve">API integration protocols; regular system audits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18"/>
                <w:szCs w:val="18"/>
              </w:rPr>
              <w:t xml:space="preserve">FCI (Food Corp of India)</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18"/>
                <w:szCs w:val="18"/>
              </w:rPr>
              <w:t xml:space="preserve">Supply Chain Owner</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18"/>
                <w:szCs w:val="18"/>
              </w:rPr>
              <w:t xml:space="preserve">Procurement efficiency, storage, logistics tracking</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18"/>
                <w:szCs w:val="18"/>
              </w:rPr>
              <w:t xml:space="preserve">End-to-end supply chain digitisation; GPS vehicle tracking</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44444"/>
                <w:sz w:val="18"/>
                <w:szCs w:val="18"/>
              </w:rPr>
              <w:t xml:space="preserve">NIC (Govt IT Body)</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44444"/>
                <w:sz w:val="18"/>
                <w:szCs w:val="18"/>
              </w:rPr>
              <w:t xml:space="preserve">Technology Implementer</w:t>
            </w:r>
          </w:p>
        </w:tc>
        <w:tc>
          <w:tcPr>
            <w:tcW w:type="dxa" w:w="2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44444"/>
                <w:sz w:val="18"/>
                <w:szCs w:val="18"/>
              </w:rPr>
              <w:t xml:space="preserve">System uptime, data security, platform scalability</w:t>
            </w:r>
          </w:p>
        </w:tc>
        <w:tc>
          <w:tcPr>
            <w:tcW w:type="dxa" w:w="2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44444"/>
                <w:sz w:val="18"/>
                <w:szCs w:val="18"/>
              </w:rPr>
              <w:t xml:space="preserve">Dedicated IT support; state-level deployment teams</w:t>
            </w:r>
          </w:p>
        </w:tc>
      </w:tr>
    </w:tbl>
    <w:p>
      <w:pPr>
        <w:spacing w:before="0" w:after="60"/>
      </w:pPr>
      <w:r>
        <w:t xml:space="preserve"/>
      </w:r>
    </w:p>
    <w:p>
      <w:pPr>
        <w:spacing w:before="0" w:after="60"/>
      </w:pPr>
      <w:r>
        <w:t xml:space="preserve"/>
      </w:r>
    </w:p>
    <w:p>
      <w:pPr>
        <w:pBdr>
          <w:bottom w:val="single" w:color="2E75B6" w:sz="12" w:space="4"/>
        </w:pBdr>
        <w:spacing w:before="300" w:after="120"/>
      </w:pPr>
      <w:r>
        <w:rPr>
          <w:rFonts w:ascii="Arial" w:cs="Arial" w:eastAsia="Arial" w:hAnsi="Arial"/>
          <w:b/>
          <w:bCs/>
          <w:color w:val="1B3A6B"/>
          <w:sz w:val="28"/>
          <w:szCs w:val="28"/>
        </w:rPr>
        <w:t xml:space="preserve">6. IMPACT ANALYSIS</w:t>
      </w:r>
    </w:p>
    <w:p>
      <w:pPr>
        <w:spacing w:before="200" w:after="80"/>
      </w:pPr>
      <w:r>
        <w:rPr>
          <w:rFonts w:ascii="Arial" w:cs="Arial" w:eastAsia="Arial" w:hAnsi="Arial"/>
          <w:b/>
          <w:bCs/>
          <w:color w:val="2E75B6"/>
          <w:sz w:val="24"/>
          <w:szCs w:val="24"/>
        </w:rPr>
        <w:t xml:space="preserve">6.1 Financial Impact</w:t>
      </w:r>
    </w:p>
    <w:p>
      <w:pPr>
        <w:pStyle w:val="ListParagraph"/>
        <w:numPr>
          <w:ilvl w:val="0"/>
          <w:numId w:val="2"/>
        </w:numPr>
        <w:spacing w:before="40" w:after="40"/>
      </w:pPr>
      <w:r>
        <w:rPr>
          <w:rFonts w:ascii="Arial" w:cs="Arial" w:eastAsia="Arial" w:hAnsi="Arial"/>
          <w:color w:val="444444"/>
          <w:sz w:val="21"/>
          <w:szCs w:val="21"/>
        </w:rPr>
        <w:t xml:space="preserve">Removal of 5.8 crore fake ration cards has generated substantial subsidy savings redirected to genuine beneficiaries</w:t>
      </w:r>
    </w:p>
    <w:p>
      <w:pPr>
        <w:pStyle w:val="ListParagraph"/>
        <w:numPr>
          <w:ilvl w:val="0"/>
          <w:numId w:val="2"/>
        </w:numPr>
        <w:spacing w:before="40" w:after="40"/>
      </w:pPr>
      <w:r>
        <w:rPr>
          <w:rFonts w:ascii="Arial" w:cs="Arial" w:eastAsia="Arial" w:hAnsi="Arial"/>
          <w:color w:val="444444"/>
          <w:sz w:val="21"/>
          <w:szCs w:val="21"/>
        </w:rPr>
        <w:t xml:space="preserve">Krishna District, Andhra Pradesh alone reported savings of Rs. 12–13 crore per month following 100% ePoS implementation</w:t>
      </w:r>
    </w:p>
    <w:p>
      <w:pPr>
        <w:pStyle w:val="ListParagraph"/>
        <w:numPr>
          <w:ilvl w:val="0"/>
          <w:numId w:val="2"/>
        </w:numPr>
        <w:spacing w:before="40" w:after="40"/>
      </w:pPr>
      <w:r>
        <w:rPr>
          <w:rFonts w:ascii="Arial" w:cs="Arial" w:eastAsia="Arial" w:hAnsi="Arial"/>
          <w:color w:val="444444"/>
          <w:sz w:val="21"/>
          <w:szCs w:val="21"/>
        </w:rPr>
        <w:t xml:space="preserve">Nationwide, reductions in leakage and diversion translate to thousands of crores in annual fiscal savings</w:t>
      </w:r>
    </w:p>
    <w:p>
      <w:pPr>
        <w:spacing w:before="0" w:after="60"/>
      </w:pPr>
      <w:r>
        <w:t xml:space="preserve"/>
      </w:r>
    </w:p>
    <w:p>
      <w:pPr>
        <w:spacing w:before="200" w:after="80"/>
      </w:pPr>
      <w:r>
        <w:rPr>
          <w:rFonts w:ascii="Arial" w:cs="Arial" w:eastAsia="Arial" w:hAnsi="Arial"/>
          <w:b/>
          <w:bCs/>
          <w:color w:val="2E75B6"/>
          <w:sz w:val="24"/>
          <w:szCs w:val="24"/>
        </w:rPr>
        <w:t xml:space="preserve">6.2 Social Impact</w:t>
      </w:r>
    </w:p>
    <w:p>
      <w:pPr>
        <w:pStyle w:val="ListParagraph"/>
        <w:numPr>
          <w:ilvl w:val="0"/>
          <w:numId w:val="2"/>
        </w:numPr>
        <w:spacing w:before="40" w:after="40"/>
      </w:pPr>
      <w:r>
        <w:rPr>
          <w:rFonts w:ascii="Arial" w:cs="Arial" w:eastAsia="Arial" w:hAnsi="Arial"/>
          <w:color w:val="444444"/>
          <w:sz w:val="21"/>
          <w:szCs w:val="21"/>
        </w:rPr>
        <w:t xml:space="preserve">Over 806 million beneficiaries now receive food grains through a transparent, accountable system</w:t>
      </w:r>
    </w:p>
    <w:p>
      <w:pPr>
        <w:pStyle w:val="ListParagraph"/>
        <w:numPr>
          <w:ilvl w:val="0"/>
          <w:numId w:val="2"/>
        </w:numPr>
        <w:spacing w:before="40" w:after="40"/>
      </w:pPr>
      <w:r>
        <w:rPr>
          <w:rFonts w:ascii="Arial" w:cs="Arial" w:eastAsia="Arial" w:hAnsi="Arial"/>
          <w:color w:val="444444"/>
          <w:sz w:val="21"/>
          <w:szCs w:val="21"/>
        </w:rPr>
        <w:t xml:space="preserve">Migrant workers and daily wage labourers can access rations anywhere in India through ONORC — a major social protection win</w:t>
      </w:r>
    </w:p>
    <w:p>
      <w:pPr>
        <w:pStyle w:val="ListParagraph"/>
        <w:numPr>
          <w:ilvl w:val="0"/>
          <w:numId w:val="2"/>
        </w:numPr>
        <w:spacing w:before="40" w:after="40"/>
      </w:pPr>
      <w:r>
        <w:rPr>
          <w:rFonts w:ascii="Arial" w:cs="Arial" w:eastAsia="Arial" w:hAnsi="Arial"/>
          <w:color w:val="444444"/>
          <w:sz w:val="21"/>
          <w:szCs w:val="21"/>
        </w:rPr>
        <w:t xml:space="preserve">Elimination of ghost beneficiaries ensures food security resources reach genuinely vulnerable populations</w:t>
      </w:r>
    </w:p>
    <w:p>
      <w:pPr>
        <w:pStyle w:val="ListParagraph"/>
        <w:numPr>
          <w:ilvl w:val="0"/>
          <w:numId w:val="2"/>
        </w:numPr>
        <w:spacing w:before="40" w:after="40"/>
      </w:pPr>
      <w:r>
        <w:rPr>
          <w:rFonts w:ascii="Arial" w:cs="Arial" w:eastAsia="Arial" w:hAnsi="Arial"/>
          <w:color w:val="444444"/>
          <w:sz w:val="21"/>
          <w:szCs w:val="21"/>
        </w:rPr>
        <w:t xml:space="preserve">eKYC has validated 64% of all PDS beneficiaries, with ongoing verification ensuring system integrity</w:t>
      </w:r>
    </w:p>
    <w:p>
      <w:pPr>
        <w:spacing w:before="0" w:after="60"/>
      </w:pPr>
      <w:r>
        <w:t xml:space="preserve"/>
      </w:r>
    </w:p>
    <w:p>
      <w:pPr>
        <w:spacing w:before="200" w:after="80"/>
      </w:pPr>
      <w:r>
        <w:rPr>
          <w:rFonts w:ascii="Arial" w:cs="Arial" w:eastAsia="Arial" w:hAnsi="Arial"/>
          <w:b/>
          <w:bCs/>
          <w:color w:val="2E75B6"/>
          <w:sz w:val="24"/>
          <w:szCs w:val="24"/>
        </w:rPr>
        <w:t xml:space="preserve">6.3 Governance Impact</w:t>
      </w:r>
    </w:p>
    <w:p>
      <w:pPr>
        <w:pStyle w:val="ListParagraph"/>
        <w:numPr>
          <w:ilvl w:val="0"/>
          <w:numId w:val="2"/>
        </w:numPr>
        <w:spacing w:before="40" w:after="40"/>
      </w:pPr>
      <w:r>
        <w:rPr>
          <w:rFonts w:ascii="Arial" w:cs="Arial" w:eastAsia="Arial" w:hAnsi="Arial"/>
          <w:color w:val="444444"/>
          <w:sz w:val="21"/>
          <w:szCs w:val="21"/>
        </w:rPr>
        <w:t xml:space="preserve">Real-time dashboards give central and state governments unprecedented visibility into distribution performance</w:t>
      </w:r>
    </w:p>
    <w:p>
      <w:pPr>
        <w:pStyle w:val="ListParagraph"/>
        <w:numPr>
          <w:ilvl w:val="0"/>
          <w:numId w:val="2"/>
        </w:numPr>
        <w:spacing w:before="40" w:after="40"/>
      </w:pPr>
      <w:r>
        <w:rPr>
          <w:rFonts w:ascii="Arial" w:cs="Arial" w:eastAsia="Arial" w:hAnsi="Arial"/>
          <w:color w:val="444444"/>
          <w:sz w:val="21"/>
          <w:szCs w:val="21"/>
        </w:rPr>
        <w:t xml:space="preserve">Digital audit trails eliminate scope for FPS dealer manipulation and under-reporting</w:t>
      </w:r>
    </w:p>
    <w:p>
      <w:pPr>
        <w:pStyle w:val="ListParagraph"/>
        <w:numPr>
          <w:ilvl w:val="0"/>
          <w:numId w:val="2"/>
        </w:numPr>
        <w:spacing w:before="40" w:after="40"/>
      </w:pPr>
      <w:r>
        <w:rPr>
          <w:rFonts w:ascii="Arial" w:cs="Arial" w:eastAsia="Arial" w:hAnsi="Arial"/>
          <w:color w:val="444444"/>
          <w:sz w:val="21"/>
          <w:szCs w:val="21"/>
        </w:rPr>
        <w:t xml:space="preserve">The transformation is recognised internationally as a benchmark for technology-enabled public service delivery</w:t>
      </w:r>
    </w:p>
    <w:p>
      <w:pPr>
        <w:spacing w:before="0" w:after="60"/>
      </w:pPr>
      <w:r>
        <w:t xml:space="preserve"/>
      </w:r>
    </w:p>
    <w:p>
      <w:pPr>
        <w:spacing w:before="200" w:after="80"/>
      </w:pPr>
      <w:r>
        <w:rPr>
          <w:rFonts w:ascii="Arial" w:cs="Arial" w:eastAsia="Arial" w:hAnsi="Arial"/>
          <w:b/>
          <w:bCs/>
          <w:color w:val="2E75B6"/>
          <w:sz w:val="24"/>
          <w:szCs w:val="24"/>
        </w:rPr>
        <w:t xml:space="preserve">6.4 Technology Impact</w:t>
      </w:r>
    </w:p>
    <w:p>
      <w:pPr>
        <w:pStyle w:val="ListParagraph"/>
        <w:numPr>
          <w:ilvl w:val="0"/>
          <w:numId w:val="2"/>
        </w:numPr>
        <w:spacing w:before="40" w:after="40"/>
      </w:pPr>
      <w:r>
        <w:rPr>
          <w:rFonts w:ascii="Arial" w:cs="Arial" w:eastAsia="Arial" w:hAnsi="Arial"/>
          <w:color w:val="444444"/>
          <w:sz w:val="21"/>
          <w:szCs w:val="21"/>
        </w:rPr>
        <w:t xml:space="preserve">5.33 lakh ePoS devices have created a nationwide digital transaction infrastructure at the last mile</w:t>
      </w:r>
    </w:p>
    <w:p>
      <w:pPr>
        <w:pStyle w:val="ListParagraph"/>
        <w:numPr>
          <w:ilvl w:val="0"/>
          <w:numId w:val="2"/>
        </w:numPr>
        <w:spacing w:before="40" w:after="40"/>
      </w:pPr>
      <w:r>
        <w:rPr>
          <w:rFonts w:ascii="Arial" w:cs="Arial" w:eastAsia="Arial" w:hAnsi="Arial"/>
          <w:color w:val="444444"/>
          <w:sz w:val="21"/>
          <w:szCs w:val="21"/>
        </w:rPr>
        <w:t xml:space="preserve">99.8% Aadhaar linkage of ration cards demonstrates successful integration at population scale</w:t>
      </w:r>
    </w:p>
    <w:p>
      <w:pPr>
        <w:pStyle w:val="ListParagraph"/>
        <w:numPr>
          <w:ilvl w:val="0"/>
          <w:numId w:val="2"/>
        </w:numPr>
        <w:spacing w:before="40" w:after="40"/>
      </w:pPr>
      <w:r>
        <w:rPr>
          <w:rFonts w:ascii="Arial" w:cs="Arial" w:eastAsia="Arial" w:hAnsi="Arial"/>
          <w:color w:val="444444"/>
          <w:sz w:val="21"/>
          <w:szCs w:val="21"/>
        </w:rPr>
        <w:t xml:space="preserve">Real-time supply chain monitoring through FCI's vehicle tracking system reduces transit losses</w:t>
      </w:r>
    </w:p>
    <w:p>
      <w:pPr>
        <w:spacing w:before="0" w:after="60"/>
      </w:pPr>
      <w:r>
        <w:t xml:space="preserve"/>
      </w:r>
    </w:p>
    <w:p>
      <w:pPr>
        <w:spacing w:before="0" w:after="60"/>
      </w:pPr>
      <w:r>
        <w:t xml:space="preserve"/>
      </w:r>
    </w:p>
    <w:p>
      <w:pPr>
        <w:pBdr>
          <w:bottom w:val="single" w:color="2E75B6" w:sz="12" w:space="4"/>
        </w:pBdr>
        <w:spacing w:before="300" w:after="120"/>
      </w:pPr>
      <w:r>
        <w:rPr>
          <w:rFonts w:ascii="Arial" w:cs="Arial" w:eastAsia="Arial" w:hAnsi="Arial"/>
          <w:b/>
          <w:bCs/>
          <w:color w:val="1B3A6B"/>
          <w:sz w:val="28"/>
          <w:szCs w:val="28"/>
        </w:rPr>
        <w:t xml:space="preserve">7. CHALLENGES &amp; RISK MITIGATION</w:t>
      </w:r>
    </w:p>
    <w:p>
      <w:pPr>
        <w:spacing w:before="60" w:after="80"/>
      </w:pPr>
      <w:r>
        <w:rPr>
          <w:rFonts w:ascii="Arial" w:cs="Arial" w:eastAsia="Arial" w:hAnsi="Arial"/>
          <w:b w:val="false"/>
          <w:bCs w:val="false"/>
          <w:color w:val="444444"/>
          <w:sz w:val="21"/>
          <w:szCs w:val="21"/>
        </w:rPr>
        <w:t xml:space="preserve">No large-scale government transformation is without challenges. The PDS digitisation encountered significant implementation risks that required proactive mitigation strategies.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3760"/>
      </w:tblGrid>
      <w:tr>
        <w:tc>
          <w:tcPr>
            <w:tcW w:type="dxa" w:w="2400"/>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tcPr>
          <w:p>
            <w:r>
              <w:rPr>
                <w:rFonts w:ascii="Arial" w:cs="Arial" w:eastAsia="Arial" w:hAnsi="Arial"/>
                <w:b/>
                <w:bCs/>
                <w:color w:val="FFFFFF"/>
                <w:sz w:val="19"/>
                <w:szCs w:val="19"/>
              </w:rPr>
              <w:t xml:space="preserve">Risk</w:t>
            </w:r>
          </w:p>
        </w:tc>
        <w:tc>
          <w:tcPr>
            <w:tcW w:type="dxa" w:w="1400"/>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tcPr>
          <w:p>
            <w:r>
              <w:rPr>
                <w:rFonts w:ascii="Arial" w:cs="Arial" w:eastAsia="Arial" w:hAnsi="Arial"/>
                <w:b/>
                <w:bCs/>
                <w:color w:val="FFFFFF"/>
                <w:sz w:val="19"/>
                <w:szCs w:val="19"/>
              </w:rPr>
              <w:t xml:space="preserve">Impact</w:t>
            </w:r>
          </w:p>
        </w:tc>
        <w:tc>
          <w:tcPr>
            <w:tcW w:type="dxa" w:w="1400"/>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tcPr>
          <w:p>
            <w:r>
              <w:rPr>
                <w:rFonts w:ascii="Arial" w:cs="Arial" w:eastAsia="Arial" w:hAnsi="Arial"/>
                <w:b/>
                <w:bCs/>
                <w:color w:val="FFFFFF"/>
                <w:sz w:val="19"/>
                <w:szCs w:val="19"/>
              </w:rPr>
              <w:t xml:space="preserve">Likelihood</w:t>
            </w:r>
          </w:p>
        </w:tc>
        <w:tc>
          <w:tcPr>
            <w:tcW w:type="dxa" w:w="3760"/>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tcPr>
          <w:p>
            <w:r>
              <w:rPr>
                <w:rFonts w:ascii="Arial" w:cs="Arial" w:eastAsia="Arial" w:hAnsi="Arial"/>
                <w:b/>
                <w:bCs/>
                <w:color w:val="FFFFFF"/>
                <w:sz w:val="19"/>
                <w:szCs w:val="19"/>
              </w:rPr>
              <w:t xml:space="preserve">Mitigation Strategy</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444444"/>
                <w:sz w:val="18"/>
                <w:szCs w:val="18"/>
              </w:rPr>
              <w:t xml:space="preserve">Biometric Authentication Failures</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C0392B"/>
                <w:sz w:val="18"/>
                <w:szCs w:val="18"/>
              </w:rPr>
              <w:t xml:space="preserve">High</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E67E22"/>
                <w:sz w:val="18"/>
                <w:szCs w:val="18"/>
              </w:rPr>
              <w:t xml:space="preserve">Medium</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444444"/>
                <w:sz w:val="18"/>
                <w:szCs w:val="18"/>
              </w:rPr>
              <w:t xml:space="preserve">Alternative OTP-based and face authentication modes introduced; manual override with supervisor approval</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Poor Internet Connectivity (Rural)</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High</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High</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Offline transaction capability built into ePoS devices; data synced when connectivity restored</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444444"/>
                <w:sz w:val="18"/>
                <w:szCs w:val="18"/>
              </w:rPr>
              <w:t xml:space="preserve">Beneficiary Resistance to Biometrics</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E67E22"/>
                <w:sz w:val="18"/>
                <w:szCs w:val="18"/>
              </w:rPr>
              <w:t xml:space="preserve">Medium</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E67E22"/>
                <w:sz w:val="18"/>
                <w:szCs w:val="18"/>
              </w:rPr>
              <w:t xml:space="preserve">Medium</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444444"/>
                <w:sz w:val="18"/>
                <w:szCs w:val="18"/>
              </w:rPr>
              <w:t xml:space="preserve">Community awareness campaigns; provision of Aadhaar enrolment camps in remote areas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Elderly/Differently-Abled Auth Barriers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High</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E8449"/>
                <w:sz w:val="18"/>
                <w:szCs w:val="18"/>
              </w:rPr>
              <w:t xml:space="preserve">Low</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Family member authentication provisions; special exemption protocols for certain categories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444444"/>
                <w:sz w:val="18"/>
                <w:szCs w:val="18"/>
              </w:rPr>
              <w:t xml:space="preserve">Data Privacy &amp; Aadhaar Misuse</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C0392B"/>
                <w:sz w:val="18"/>
                <w:szCs w:val="18"/>
              </w:rPr>
              <w:t xml:space="preserve">High</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1E8449"/>
                <w:sz w:val="18"/>
                <w:szCs w:val="18"/>
              </w:rPr>
              <w:t xml:space="preserve">Low</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444444"/>
                <w:sz w:val="18"/>
                <w:szCs w:val="18"/>
              </w:rPr>
              <w:t xml:space="preserve">UIDAI guidelines strictly enforced; prohibition on storage of Aadhaar data by system integrators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FPS Dealer Technology Adoption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E67E22"/>
                <w:sz w:val="18"/>
                <w:szCs w:val="18"/>
              </w:rPr>
              <w:t xml:space="preserve">Medium</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E67E22"/>
                <w:sz w:val="18"/>
                <w:szCs w:val="18"/>
              </w:rPr>
              <w:t xml:space="preserve">Medium</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Structured training programmes; helpdesk support; financial incentives for early adopters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444444"/>
                <w:sz w:val="18"/>
                <w:szCs w:val="18"/>
              </w:rPr>
              <w:t xml:space="preserve">System Downtime &amp; Uptime Risk</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C0392B"/>
                <w:sz w:val="18"/>
                <w:szCs w:val="18"/>
              </w:rPr>
              <w:t xml:space="preserve">High</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1E8449"/>
                <w:sz w:val="18"/>
                <w:szCs w:val="18"/>
              </w:rPr>
              <w:t xml:space="preserve">Low</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444444"/>
                <w:sz w:val="18"/>
                <w:szCs w:val="18"/>
              </w:rPr>
              <w:t xml:space="preserve">Redundant server infrastructure; state-level IT support teams; SLA-backed uptime commitments</w:t>
            </w:r>
          </w:p>
        </w:tc>
      </w:tr>
    </w:tbl>
    <w:p>
      <w:pPr>
        <w:spacing w:before="0" w:after="60"/>
      </w:pPr>
      <w:r>
        <w:t xml:space="preserve"/>
      </w:r>
    </w:p>
    <w:p>
      <w:pPr>
        <w:spacing w:before="0" w:after="60"/>
      </w:pPr>
      <w:r>
        <w:t xml:space="preserve"/>
      </w:r>
    </w:p>
    <w:p>
      <w:pPr>
        <w:pBdr>
          <w:bottom w:val="single" w:color="2E75B6" w:sz="12" w:space="4"/>
        </w:pBdr>
        <w:spacing w:before="300" w:after="120"/>
      </w:pPr>
      <w:r>
        <w:rPr>
          <w:rFonts w:ascii="Arial" w:cs="Arial" w:eastAsia="Arial" w:hAnsi="Arial"/>
          <w:b/>
          <w:bCs/>
          <w:color w:val="1B3A6B"/>
          <w:sz w:val="28"/>
          <w:szCs w:val="28"/>
        </w:rPr>
        <w:t xml:space="preserve">8. STRATEGIC RECOMMENDATIONS</w:t>
      </w:r>
    </w:p>
    <w:p>
      <w:pPr>
        <w:spacing w:before="60" w:after="80"/>
      </w:pPr>
      <w:r>
        <w:rPr>
          <w:rFonts w:ascii="Arial" w:cs="Arial" w:eastAsia="Arial" w:hAnsi="Arial"/>
          <w:b w:val="false"/>
          <w:bCs w:val="false"/>
          <w:color w:val="444444"/>
          <w:sz w:val="21"/>
          <w:szCs w:val="21"/>
        </w:rPr>
        <w:t xml:space="preserve">Based on this analysis, the following recommendations are proposed to further strengthen the transformation and address remaining gaps:</w:t>
      </w:r>
    </w:p>
    <w:p>
      <w:pPr>
        <w:spacing w:before="0" w:after="60"/>
      </w:pPr>
      <w:r>
        <w:t xml:space="preserve"/>
      </w:r>
    </w:p>
    <w:p>
      <w:pPr>
        <w:spacing w:before="200" w:after="80"/>
      </w:pPr>
      <w:r>
        <w:rPr>
          <w:rFonts w:ascii="Arial" w:cs="Arial" w:eastAsia="Arial" w:hAnsi="Arial"/>
          <w:b/>
          <w:bCs/>
          <w:color w:val="2E75B6"/>
          <w:sz w:val="24"/>
          <w:szCs w:val="24"/>
        </w:rPr>
        <w:t xml:space="preserve">Short-Term (0–6 months)</w:t>
      </w:r>
    </w:p>
    <w:p>
      <w:pPr>
        <w:pStyle w:val="ListParagraph"/>
        <w:numPr>
          <w:ilvl w:val="0"/>
          <w:numId w:val="2"/>
        </w:numPr>
        <w:spacing w:before="40" w:after="40"/>
      </w:pPr>
      <w:r>
        <w:rPr>
          <w:rFonts w:ascii="Arial" w:cs="Arial" w:eastAsia="Arial" w:hAnsi="Arial"/>
          <w:color w:val="444444"/>
          <w:sz w:val="21"/>
          <w:szCs w:val="21"/>
        </w:rPr>
        <w:t xml:space="preserve">Complete eKYC verification for the remaining 36% of unverified beneficiaries before the next procurement cycle</w:t>
      </w:r>
    </w:p>
    <w:p>
      <w:pPr>
        <w:pStyle w:val="ListParagraph"/>
        <w:numPr>
          <w:ilvl w:val="0"/>
          <w:numId w:val="2"/>
        </w:numPr>
        <w:spacing w:before="40" w:after="40"/>
      </w:pPr>
      <w:r>
        <w:rPr>
          <w:rFonts w:ascii="Arial" w:cs="Arial" w:eastAsia="Arial" w:hAnsi="Arial"/>
          <w:color w:val="444444"/>
          <w:sz w:val="21"/>
          <w:szCs w:val="21"/>
        </w:rPr>
        <w:t xml:space="preserve">Accelerate IRIS scanner deployment at FPS locations where fingerprint failures are disproportionately high</w:t>
      </w:r>
    </w:p>
    <w:p>
      <w:pPr>
        <w:pStyle w:val="ListParagraph"/>
        <w:numPr>
          <w:ilvl w:val="0"/>
          <w:numId w:val="2"/>
        </w:numPr>
        <w:spacing w:before="40" w:after="40"/>
      </w:pPr>
      <w:r>
        <w:rPr>
          <w:rFonts w:ascii="Arial" w:cs="Arial" w:eastAsia="Arial" w:hAnsi="Arial"/>
          <w:color w:val="444444"/>
          <w:sz w:val="21"/>
          <w:szCs w:val="21"/>
        </w:rPr>
        <w:t xml:space="preserve">Establish a real-time centralised grievance dashboard accessible to both state and central administrators</w:t>
      </w:r>
    </w:p>
    <w:p>
      <w:pPr>
        <w:spacing w:before="0" w:after="60"/>
      </w:pPr>
      <w:r>
        <w:t xml:space="preserve"/>
      </w:r>
    </w:p>
    <w:p>
      <w:pPr>
        <w:spacing w:before="200" w:after="80"/>
      </w:pPr>
      <w:r>
        <w:rPr>
          <w:rFonts w:ascii="Arial" w:cs="Arial" w:eastAsia="Arial" w:hAnsi="Arial"/>
          <w:b/>
          <w:bCs/>
          <w:color w:val="2E75B6"/>
          <w:sz w:val="24"/>
          <w:szCs w:val="24"/>
        </w:rPr>
        <w:t xml:space="preserve">Medium-Term (6–18 months)</w:t>
      </w:r>
    </w:p>
    <w:p>
      <w:pPr>
        <w:pStyle w:val="ListParagraph"/>
        <w:numPr>
          <w:ilvl w:val="0"/>
          <w:numId w:val="2"/>
        </w:numPr>
        <w:spacing w:before="40" w:after="40"/>
      </w:pPr>
      <w:r>
        <w:rPr>
          <w:rFonts w:ascii="Arial" w:cs="Arial" w:eastAsia="Arial" w:hAnsi="Arial"/>
          <w:color w:val="444444"/>
          <w:sz w:val="21"/>
          <w:szCs w:val="21"/>
        </w:rPr>
        <w:t xml:space="preserve">Integrate AI-based anomaly detection in distribution data to flag potential diversion patterns proactively</w:t>
      </w:r>
    </w:p>
    <w:p>
      <w:pPr>
        <w:pStyle w:val="ListParagraph"/>
        <w:numPr>
          <w:ilvl w:val="0"/>
          <w:numId w:val="2"/>
        </w:numPr>
        <w:spacing w:before="40" w:after="40"/>
      </w:pPr>
      <w:r>
        <w:rPr>
          <w:rFonts w:ascii="Arial" w:cs="Arial" w:eastAsia="Arial" w:hAnsi="Arial"/>
          <w:color w:val="444444"/>
          <w:sz w:val="21"/>
          <w:szCs w:val="21"/>
        </w:rPr>
        <w:t xml:space="preserve">Expand ONORC communication campaigns targeting migrant-heavy states (UP, Bihar, Rajasthan, Maharashtra)</w:t>
      </w:r>
    </w:p>
    <w:p>
      <w:pPr>
        <w:pStyle w:val="ListParagraph"/>
        <w:numPr>
          <w:ilvl w:val="0"/>
          <w:numId w:val="2"/>
        </w:numPr>
        <w:spacing w:before="40" w:after="40"/>
      </w:pPr>
      <w:r>
        <w:rPr>
          <w:rFonts w:ascii="Arial" w:cs="Arial" w:eastAsia="Arial" w:hAnsi="Arial"/>
          <w:color w:val="444444"/>
          <w:sz w:val="21"/>
          <w:szCs w:val="21"/>
        </w:rPr>
        <w:t xml:space="preserve">Introduce mobile-based self-service for beneficiaries to check entitlements, transaction history, and raise complaints</w:t>
      </w:r>
    </w:p>
    <w:p>
      <w:pPr>
        <w:spacing w:before="0" w:after="60"/>
      </w:pPr>
      <w:r>
        <w:t xml:space="preserve"/>
      </w:r>
    </w:p>
    <w:p>
      <w:pPr>
        <w:spacing w:before="200" w:after="80"/>
      </w:pPr>
      <w:r>
        <w:rPr>
          <w:rFonts w:ascii="Arial" w:cs="Arial" w:eastAsia="Arial" w:hAnsi="Arial"/>
          <w:b/>
          <w:bCs/>
          <w:color w:val="2E75B6"/>
          <w:sz w:val="24"/>
          <w:szCs w:val="24"/>
        </w:rPr>
        <w:t xml:space="preserve">Long-Term (18 months+)</w:t>
      </w:r>
    </w:p>
    <w:p>
      <w:pPr>
        <w:pStyle w:val="ListParagraph"/>
        <w:numPr>
          <w:ilvl w:val="0"/>
          <w:numId w:val="2"/>
        </w:numPr>
        <w:spacing w:before="40" w:after="40"/>
      </w:pPr>
      <w:r>
        <w:rPr>
          <w:rFonts w:ascii="Arial" w:cs="Arial" w:eastAsia="Arial" w:hAnsi="Arial"/>
          <w:color w:val="444444"/>
          <w:sz w:val="21"/>
          <w:szCs w:val="21"/>
        </w:rPr>
        <w:t xml:space="preserve">Evaluate transition to Direct Benefit Transfer (DBT) for cash-equivalent subsidies in high-digitisation states</w:t>
      </w:r>
    </w:p>
    <w:p>
      <w:pPr>
        <w:pStyle w:val="ListParagraph"/>
        <w:numPr>
          <w:ilvl w:val="0"/>
          <w:numId w:val="2"/>
        </w:numPr>
        <w:spacing w:before="40" w:after="40"/>
      </w:pPr>
      <w:r>
        <w:rPr>
          <w:rFonts w:ascii="Arial" w:cs="Arial" w:eastAsia="Arial" w:hAnsi="Arial"/>
          <w:color w:val="444444"/>
          <w:sz w:val="21"/>
          <w:szCs w:val="21"/>
        </w:rPr>
        <w:t xml:space="preserve">Leverage PDS transaction data for predictive analytics to optimise procurement quantities and reduce wastage</w:t>
      </w:r>
    </w:p>
    <w:p>
      <w:pPr>
        <w:pStyle w:val="ListParagraph"/>
        <w:numPr>
          <w:ilvl w:val="0"/>
          <w:numId w:val="2"/>
        </w:numPr>
        <w:spacing w:before="40" w:after="40"/>
      </w:pPr>
      <w:r>
        <w:rPr>
          <w:rFonts w:ascii="Arial" w:cs="Arial" w:eastAsia="Arial" w:hAnsi="Arial"/>
          <w:color w:val="444444"/>
          <w:sz w:val="21"/>
          <w:szCs w:val="21"/>
        </w:rPr>
        <w:t xml:space="preserve">Position India's PDS transformation model as a replicable template for food security programs in developing nations</w:t>
      </w:r>
    </w:p>
    <w:p>
      <w:pPr>
        <w:spacing w:before="0" w:after="60"/>
      </w:pPr>
      <w:r>
        <w:t xml:space="preserve"/>
      </w:r>
    </w:p>
    <w:p>
      <w:pPr>
        <w:spacing w:before="0" w:after="60"/>
      </w:pPr>
      <w:r>
        <w:t xml:space="preserve"/>
      </w:r>
    </w:p>
    <w:p>
      <w:pPr>
        <w:pBdr>
          <w:bottom w:val="single" w:color="2E75B6" w:sz="12" w:space="4"/>
        </w:pBdr>
        <w:spacing w:before="300" w:after="120"/>
      </w:pPr>
      <w:r>
        <w:rPr>
          <w:rFonts w:ascii="Arial" w:cs="Arial" w:eastAsia="Arial" w:hAnsi="Arial"/>
          <w:b/>
          <w:bCs/>
          <w:color w:val="1B3A6B"/>
          <w:sz w:val="28"/>
          <w:szCs w:val="28"/>
        </w:rPr>
        <w:t xml:space="preserve">9. KEY LESSONS FOR DIGITAL TRANSFORMATION IN GOVERNMENT</w:t>
      </w:r>
    </w:p>
    <w:p>
      <w:pPr>
        <w:spacing w:before="0" w:after="60"/>
      </w:pPr>
      <w:r>
        <w:t xml:space="preserve"/>
      </w:r>
    </w:p>
    <w:p>
      <w:pPr>
        <w:pStyle w:val="ListParagraph"/>
        <w:numPr>
          <w:ilvl w:val="0"/>
          <w:numId w:val="2"/>
        </w:numPr>
        <w:spacing w:before="40" w:after="40"/>
      </w:pPr>
      <w:r>
        <w:rPr>
          <w:rFonts w:ascii="Arial" w:cs="Arial" w:eastAsia="Arial" w:hAnsi="Arial"/>
          <w:b/>
          <w:bCs/>
          <w:color w:val="1B3A6B"/>
          <w:sz w:val="21"/>
          <w:szCs w:val="21"/>
        </w:rPr>
        <w:t xml:space="preserve">Top-down mandate from the Ministry was essential to drive state-level compliance and coordination: </w:t>
      </w:r>
      <w:r>
        <w:rPr>
          <w:rFonts w:ascii="Arial" w:cs="Arial" w:eastAsia="Arial" w:hAnsi="Arial"/>
          <w:color w:val="444444"/>
          <w:sz w:val="21"/>
          <w:szCs w:val="21"/>
        </w:rPr>
        <w:t xml:space="preserve">Strong Political Will is Non-Negotiable</w:t>
      </w:r>
    </w:p>
    <w:p>
      <w:pPr>
        <w:pStyle w:val="ListParagraph"/>
        <w:numPr>
          <w:ilvl w:val="0"/>
          <w:numId w:val="2"/>
        </w:numPr>
        <w:spacing w:before="40" w:after="40"/>
      </w:pPr>
      <w:r>
        <w:rPr>
          <w:rFonts w:ascii="Arial" w:cs="Arial" w:eastAsia="Arial" w:hAnsi="Arial"/>
          <w:b/>
          <w:bCs/>
          <w:color w:val="1B3A6B"/>
          <w:sz w:val="21"/>
          <w:szCs w:val="21"/>
        </w:rPr>
        <w:t xml:space="preserve">The transformation succeeded because it paired technology with process redesign, change management, and stakeholder engagement: </w:t>
      </w:r>
      <w:r>
        <w:rPr>
          <w:rFonts w:ascii="Arial" w:cs="Arial" w:eastAsia="Arial" w:hAnsi="Arial"/>
          <w:color w:val="444444"/>
          <w:sz w:val="21"/>
          <w:szCs w:val="21"/>
        </w:rPr>
        <w:t xml:space="preserve">Technology Alone is Insufficient</w:t>
      </w:r>
    </w:p>
    <w:p>
      <w:pPr>
        <w:pStyle w:val="ListParagraph"/>
        <w:numPr>
          <w:ilvl w:val="0"/>
          <w:numId w:val="2"/>
        </w:numPr>
        <w:spacing w:before="40" w:after="40"/>
      </w:pPr>
      <w:r>
        <w:rPr>
          <w:rFonts w:ascii="Arial" w:cs="Arial" w:eastAsia="Arial" w:hAnsi="Arial"/>
          <w:b/>
          <w:bCs/>
          <w:color w:val="1B3A6B"/>
          <w:sz w:val="21"/>
          <w:szCs w:val="21"/>
        </w:rPr>
        <w:t xml:space="preserve">Offline capability, multilingual interfaces, and alternate authentication modes were critical to inclusion in rural India: </w:t>
      </w:r>
      <w:r>
        <w:rPr>
          <w:rFonts w:ascii="Arial" w:cs="Arial" w:eastAsia="Arial" w:hAnsi="Arial"/>
          <w:color w:val="444444"/>
          <w:sz w:val="21"/>
          <w:szCs w:val="21"/>
        </w:rPr>
        <w:t xml:space="preserve">Design for the Last Mile</w:t>
      </w:r>
    </w:p>
    <w:p>
      <w:pPr>
        <w:pStyle w:val="ListParagraph"/>
        <w:numPr>
          <w:ilvl w:val="0"/>
          <w:numId w:val="2"/>
        </w:numPr>
        <w:spacing w:before="40" w:after="40"/>
      </w:pPr>
      <w:r>
        <w:rPr>
          <w:rFonts w:ascii="Arial" w:cs="Arial" w:eastAsia="Arial" w:hAnsi="Arial"/>
          <w:b/>
          <w:bCs/>
          <w:color w:val="1B3A6B"/>
          <w:sz w:val="21"/>
          <w:szCs w:val="21"/>
        </w:rPr>
        <w:t xml:space="preserve">Real-time dashboards transformed the government's ability to monitor, intervene, and improve outcomes at scale: </w:t>
      </w:r>
      <w:r>
        <w:rPr>
          <w:rFonts w:ascii="Arial" w:cs="Arial" w:eastAsia="Arial" w:hAnsi="Arial"/>
          <w:color w:val="444444"/>
          <w:sz w:val="21"/>
          <w:szCs w:val="21"/>
        </w:rPr>
        <w:t xml:space="preserve">Data as a Governance Tool</w:t>
      </w:r>
    </w:p>
    <w:p>
      <w:pPr>
        <w:pStyle w:val="ListParagraph"/>
        <w:numPr>
          <w:ilvl w:val="0"/>
          <w:numId w:val="2"/>
        </w:numPr>
        <w:spacing w:before="40" w:after="40"/>
      </w:pPr>
      <w:r>
        <w:rPr>
          <w:rFonts w:ascii="Arial" w:cs="Arial" w:eastAsia="Arial" w:hAnsi="Arial"/>
          <w:b/>
          <w:bCs/>
          <w:color w:val="1B3A6B"/>
          <w:sz w:val="21"/>
          <w:szCs w:val="21"/>
        </w:rPr>
        <w:t xml:space="preserve">State-by-state piloting allowed lessons to be incorporated before national scale-up, reducing systemic failure risk: </w:t>
      </w:r>
      <w:r>
        <w:rPr>
          <w:rFonts w:ascii="Arial" w:cs="Arial" w:eastAsia="Arial" w:hAnsi="Arial"/>
          <w:color w:val="444444"/>
          <w:sz w:val="21"/>
          <w:szCs w:val="21"/>
        </w:rPr>
        <w:t xml:space="preserve">Iterative Rollout Reduces Risk</w:t>
      </w:r>
    </w:p>
    <w:p>
      <w:pPr>
        <w:spacing w:before="0" w:after="60"/>
      </w:pPr>
      <w:r>
        <w:t xml:space="preserve"/>
      </w:r>
    </w:p>
    <w:p>
      <w:pPr>
        <w:spacing w:before="0" w:after="60"/>
      </w:pPr>
      <w:r>
        <w:t xml:space="preserve"/>
      </w:r>
    </w:p>
    <w:p>
      <w:pPr>
        <w:pBdr>
          <w:bottom w:val="single" w:color="2E75B6" w:sz="12" w:space="4"/>
        </w:pBdr>
        <w:spacing w:before="300" w:after="120"/>
      </w:pPr>
      <w:r>
        <w:rPr>
          <w:rFonts w:ascii="Arial" w:cs="Arial" w:eastAsia="Arial" w:hAnsi="Arial"/>
          <w:b/>
          <w:bCs/>
          <w:color w:val="1B3A6B"/>
          <w:sz w:val="28"/>
          <w:szCs w:val="28"/>
        </w:rPr>
        <w:t xml:space="preserve">10. CONCLUSION</w:t>
      </w:r>
    </w:p>
    <w:p>
      <w:pPr>
        <w:spacing w:before="60" w:after="80"/>
      </w:pPr>
      <w:r>
        <w:rPr>
          <w:rFonts w:ascii="Arial" w:cs="Arial" w:eastAsia="Arial" w:hAnsi="Arial"/>
          <w:b w:val="false"/>
          <w:bCs w:val="false"/>
          <w:color w:val="444444"/>
          <w:sz w:val="21"/>
          <w:szCs w:val="21"/>
        </w:rPr>
        <w:t xml:space="preserve">The digital transformation of India's Public Distribution System represents one of the most ambitious and impactful government technology transformations in the world. By systematically addressing the twin challenges of beneficiary verification and supply chain accountability, the Government of India has created a model for transparent, efficient, and inclusive public service delivery.</w:t>
      </w:r>
    </w:p>
    <w:p>
      <w:pPr>
        <w:spacing w:before="0" w:after="60"/>
      </w:pPr>
      <w:r>
        <w:t xml:space="preserve"/>
      </w:r>
    </w:p>
    <w:p>
      <w:pPr>
        <w:spacing w:before="60" w:after="80"/>
      </w:pPr>
      <w:r>
        <w:rPr>
          <w:rFonts w:ascii="Arial" w:cs="Arial" w:eastAsia="Arial" w:hAnsi="Arial"/>
          <w:b w:val="false"/>
          <w:bCs w:val="false"/>
          <w:color w:val="444444"/>
          <w:sz w:val="21"/>
          <w:szCs w:val="21"/>
        </w:rPr>
        <w:t xml:space="preserve">This transformation is not just a technology success story — it is a testament to what structured change management, multi-stakeholder coordination, and a clear governance framework can achieve at population scale. The lessons from the PDS transformation offer a compelling blueprint for any government organisation seeking to reinvent the way it serves citizens.</w:t>
      </w:r>
    </w:p>
    <w:p>
      <w:pPr>
        <w:spacing w:before="0" w:after="60"/>
      </w:pPr>
      <w:r>
        <w:t xml:space="preserve"/>
      </w:r>
    </w:p>
    <w:p>
      <w:pPr>
        <w:spacing w:before="60" w:after="80"/>
      </w:pPr>
      <w:r>
        <w:rPr>
          <w:rFonts w:ascii="Arial" w:cs="Arial" w:eastAsia="Arial" w:hAnsi="Arial"/>
          <w:b w:val="false"/>
          <w:bCs w:val="false"/>
          <w:color w:val="1B3A6B"/>
          <w:sz w:val="21"/>
          <w:szCs w:val="21"/>
        </w:rPr>
        <w:t xml:space="preserve">As India continues to deepen its digital governance stack — through DigiLocker, Aadhaar, UPI, and programmes like PM Gati Shakti — the PDS transformation stands as a foundational proof point that bold digital change in public sector is not only possible, but essential.</w:t>
      </w:r>
    </w:p>
    <w:p>
      <w:pPr>
        <w:spacing w:before="0" w:after="60"/>
      </w:pPr>
      <w:r>
        <w:t xml:space="preserve"/>
      </w:r>
    </w:p>
    <w:p>
      <w:pPr>
        <w:spacing w:before="0" w:after="60"/>
      </w:pPr>
      <w:r>
        <w:t xml:space="preserve"/>
      </w:r>
    </w:p>
    <w:p>
      <w:pPr>
        <w:pBdr>
          <w:bottom w:val="single" w:color="2E75B6" w:sz="12" w:space="4"/>
        </w:pBdr>
        <w:spacing w:before="300" w:after="120"/>
      </w:pPr>
      <w:r>
        <w:rPr>
          <w:rFonts w:ascii="Arial" w:cs="Arial" w:eastAsia="Arial" w:hAnsi="Arial"/>
          <w:b/>
          <w:bCs/>
          <w:color w:val="1B3A6B"/>
          <w:sz w:val="28"/>
          <w:szCs w:val="28"/>
        </w:rPr>
        <w:t xml:space="preserve">REFERENCES</w:t>
      </w:r>
    </w:p>
    <w:p>
      <w:pPr>
        <w:spacing w:before="60" w:after="80"/>
      </w:pPr>
      <w:r>
        <w:rPr>
          <w:rFonts w:ascii="Arial" w:cs="Arial" w:eastAsia="Arial" w:hAnsi="Arial"/>
          <w:b w:val="false"/>
          <w:bCs w:val="false"/>
          <w:color w:val="444444"/>
          <w:sz w:val="21"/>
          <w:szCs w:val="21"/>
        </w:rPr>
        <w:t xml:space="preserve">1. Ministry of Consumer Affairs, Food &amp; Public Distribution, Government of India (November 2024). PDS Digitisation Drive Update.</w:t>
      </w:r>
    </w:p>
    <w:p>
      <w:pPr>
        <w:spacing w:before="60" w:after="80"/>
      </w:pPr>
      <w:r>
        <w:rPr>
          <w:rFonts w:ascii="Arial" w:cs="Arial" w:eastAsia="Arial" w:hAnsi="Arial"/>
          <w:b w:val="false"/>
          <w:bCs w:val="false"/>
          <w:color w:val="444444"/>
          <w:sz w:val="21"/>
          <w:szCs w:val="21"/>
        </w:rPr>
        <w:t xml:space="preserve">2. Business Standard (November 2024). Govt digitisation drive removes 5.8 crore fake ration cards from PDS.</w:t>
      </w:r>
    </w:p>
    <w:p>
      <w:pPr>
        <w:spacing w:before="60" w:after="80"/>
      </w:pPr>
      <w:r>
        <w:rPr>
          <w:rFonts w:ascii="Arial" w:cs="Arial" w:eastAsia="Arial" w:hAnsi="Arial"/>
          <w:b w:val="false"/>
          <w:bCs w:val="false"/>
          <w:color w:val="444444"/>
          <w:sz w:val="21"/>
          <w:szCs w:val="21"/>
        </w:rPr>
        <w:t xml:space="preserve">3. NIC / Informatics (2023). Aadhaar Enabled PDS System (AePDS) — ePoS Project Report, Krishna District, Andhra Pradesh.</w:t>
      </w:r>
    </w:p>
    <w:p>
      <w:pPr>
        <w:spacing w:before="60" w:after="80"/>
      </w:pPr>
      <w:r>
        <w:rPr>
          <w:rFonts w:ascii="Arial" w:cs="Arial" w:eastAsia="Arial" w:hAnsi="Arial"/>
          <w:b w:val="false"/>
          <w:bCs w:val="false"/>
          <w:color w:val="444444"/>
          <w:sz w:val="21"/>
          <w:szCs w:val="21"/>
        </w:rPr>
        <w:t xml:space="preserve">4. Library Progress International, Jemsala J. &amp; Shiny S. (2024). Perspectives on the Digitalisation of Public Distribution System in Kanniyakumari District.</w:t>
      </w:r>
    </w:p>
    <w:p>
      <w:pPr>
        <w:spacing w:before="60" w:after="80"/>
      </w:pPr>
      <w:r>
        <w:rPr>
          <w:rFonts w:ascii="Arial" w:cs="Arial" w:eastAsia="Arial" w:hAnsi="Arial"/>
          <w:b w:val="false"/>
          <w:bCs w:val="false"/>
          <w:color w:val="444444"/>
          <w:sz w:val="21"/>
          <w:szCs w:val="21"/>
        </w:rPr>
        <w:t xml:space="preserve">5. Press Information Bureau, Government of India (2020). Aadhaar-Based Technical Improvements in PDS.</w:t>
      </w:r>
    </w:p>
    <w:p>
      <w:pPr>
        <w:spacing w:before="60" w:after="80"/>
      </w:pPr>
      <w:r>
        <w:rPr>
          <w:rFonts w:ascii="Arial" w:cs="Arial" w:eastAsia="Arial" w:hAnsi="Arial"/>
          <w:b w:val="false"/>
          <w:bCs w:val="false"/>
          <w:color w:val="444444"/>
          <w:sz w:val="21"/>
          <w:szCs w:val="21"/>
        </w:rPr>
        <w:t xml:space="preserve">6. ANI / The News Mill (December 2025). Odisha removes 6.95 lakh Ghost ration cards under eKYC verification drive.</w:t>
      </w:r>
    </w:p>
    <w:p>
      <w:pPr>
        <w:spacing w:before="60" w:after="80"/>
      </w:pPr>
      <w:r>
        <w:rPr>
          <w:rFonts w:ascii="Arial" w:cs="Arial" w:eastAsia="Arial" w:hAnsi="Arial"/>
          <w:b w:val="false"/>
          <w:bCs w:val="false"/>
          <w:color w:val="444444"/>
          <w:sz w:val="21"/>
          <w:szCs w:val="21"/>
        </w:rPr>
        <w:t xml:space="preserve">7. One Nation One Ration Card (ONORC) Scheme — Ministry of Food &amp; Public Distribution, 2019–2024.</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pBd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pPr>
    <w:r>
      <w:rPr>
        <w:rFonts w:ascii="Arial" w:cs="Arial" w:eastAsia="Arial" w:hAnsi="Arial"/>
        <w:color w:val="888888"/>
        <w:sz w:val="16"/>
        <w:szCs w:val="16"/>
      </w:rPr>
      <w:t xml:space="preserve">DIGITAL TRANSFORMATION OF INDIA'S PDS  |  Consulting Case Study  |  Ayush Mishra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2026-03-08T06:09:41.077Z</dcterms:created>
  <dcterms:modified xsi:type="dcterms:W3CDTF">2026-03-08T06:09:41.078Z</dcterms:modified>
</cp:coreProperties>
</file>

<file path=docProps/custom.xml><?xml version="1.0" encoding="utf-8"?>
<Properties xmlns="http://schemas.openxmlformats.org/officeDocument/2006/custom-properties" xmlns:vt="http://schemas.openxmlformats.org/officeDocument/2006/docPropsVTypes"/>
</file>