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52" w:lineRule="auto"/>
        <w:jc w:val="center"/>
      </w:pPr>
      <w:r>
        <w:rPr>
          <w:rFonts w:ascii="Arial" w:hAnsi="Arial"/>
          <w:b/>
          <w:sz w:val="36"/>
        </w:rPr>
        <w:t>AYUSH SINHA</w:t>
      </w:r>
    </w:p>
    <w:p>
      <w:pPr>
        <w:spacing w:before="0" w:after="30" w:line="252" w:lineRule="auto"/>
        <w:jc w:val="center"/>
      </w:pPr>
      <w:r>
        <w:rPr>
          <w:rFonts w:ascii="Arial" w:hAnsi="Arial"/>
          <w:b w:val="0"/>
          <w:sz w:val="19"/>
        </w:rPr>
        <w:t>FP&amp;A | Financial Modelling | Budgeting &amp; Forecasting | MBA Finance</w:t>
      </w:r>
    </w:p>
    <w:p>
      <w:pPr>
        <w:spacing w:before="0" w:after="60" w:line="252" w:lineRule="auto"/>
        <w:jc w:val="center"/>
      </w:pPr>
      <w:r>
        <w:rPr>
          <w:rFonts w:ascii="Arial" w:hAnsi="Arial"/>
          <w:b w:val="0"/>
          <w:sz w:val="18"/>
        </w:rPr>
        <w:t>+91 62055 24525   |   sinhaayushnk@gmail.com   |   Delhi NCR   |   LinkedIn Profile</w:t>
      </w:r>
    </w:p>
    <w:p>
      <w:pPr>
        <w:spacing w:before="90" w:after="40" w:line="252" w:lineRule="auto"/>
      </w:pPr>
      <w:r>
        <w:rPr>
          <w:rFonts w:ascii="Arial" w:hAnsi="Arial"/>
          <w:b/>
          <w:sz w:val="21"/>
        </w:rPr>
        <w:t>PROFESSIONAL SUMMARY</w:t>
      </w:r>
    </w:p>
    <w:p>
      <w:pPr>
        <w:spacing w:before="0" w:after="50" w:line="252" w:lineRule="auto"/>
        <w:jc w:val="left"/>
      </w:pPr>
      <w:r>
        <w:rPr>
          <w:rFonts w:ascii="Arial" w:hAnsi="Arial"/>
          <w:b w:val="0"/>
          <w:sz w:val="19"/>
        </w:rPr>
        <w:t>MBA Finance professional (IMS Ghaziabad, CGPA 8.3/10) with Big 4 FP&amp;A experience at KPMG India. Skilled in 3-statement financial modelling, variance analysis, budgeting, and management reporting. Proficient in Advanced Excel, Power BI, Python, and SQL. Seeking a Financial Analyst / FP&amp;A role to drive performance reporting and strategic financial decision-making.</w:t>
      </w:r>
    </w:p>
    <w:p>
      <w:pPr>
        <w:spacing w:before="90" w:after="40" w:line="252" w:lineRule="auto"/>
      </w:pPr>
      <w:r>
        <w:rPr>
          <w:rFonts w:ascii="Arial" w:hAnsi="Arial"/>
          <w:b/>
          <w:sz w:val="21"/>
        </w:rPr>
        <w:t>SKILLS</w:t>
      </w:r>
    </w:p>
    <w:p>
      <w:pPr>
        <w:spacing w:before="0" w:after="30" w:line="252" w:lineRule="auto"/>
        <w:jc w:val="left"/>
      </w:pPr>
      <w:r>
        <w:rPr>
          <w:rFonts w:ascii="Arial" w:hAnsi="Arial"/>
          <w:b/>
          <w:sz w:val="19"/>
        </w:rPr>
        <w:t xml:space="preserve">Core Finance: </w:t>
      </w:r>
      <w:r>
        <w:rPr>
          <w:rFonts w:ascii="Arial" w:hAnsi="Arial"/>
          <w:b w:val="0"/>
          <w:sz w:val="19"/>
        </w:rPr>
        <w:t>FP&amp;A, Budgeting &amp; Forecasting, Variance Analysis, Financial Reporting, MIS, Cost Monitoring, KPI Tracking, 3-Statement Financial Modelling</w:t>
      </w:r>
    </w:p>
    <w:p>
      <w:pPr>
        <w:spacing w:before="0" w:after="30" w:line="252" w:lineRule="auto"/>
        <w:jc w:val="left"/>
      </w:pPr>
      <w:r>
        <w:rPr>
          <w:rFonts w:ascii="Arial" w:hAnsi="Arial"/>
          <w:b/>
          <w:sz w:val="19"/>
        </w:rPr>
        <w:t xml:space="preserve">Technical: </w:t>
      </w:r>
      <w:r>
        <w:rPr>
          <w:rFonts w:ascii="Arial" w:hAnsi="Arial"/>
          <w:b w:val="0"/>
          <w:sz w:val="19"/>
        </w:rPr>
        <w:t>Advanced Excel (VLOOKUP, INDEX-MATCH, Pivot Tables, Dynamic Arrays), Power BI, SQL, Python (Pandas, regression analysis)</w:t>
      </w:r>
    </w:p>
    <w:p>
      <w:pPr>
        <w:spacing w:before="0" w:after="50" w:line="252" w:lineRule="auto"/>
        <w:jc w:val="left"/>
      </w:pPr>
      <w:r>
        <w:rPr>
          <w:rFonts w:ascii="Arial" w:hAnsi="Arial"/>
          <w:b/>
          <w:sz w:val="19"/>
        </w:rPr>
        <w:t xml:space="preserve">Accounting: </w:t>
      </w:r>
      <w:r>
        <w:rPr>
          <w:rFonts w:ascii="Arial" w:hAnsi="Arial"/>
          <w:b w:val="0"/>
          <w:sz w:val="19"/>
        </w:rPr>
        <w:t>P&amp;L, Balance Sheet, Cash Flow Statements, Working Capital Analysis, Ratio Analysis</w:t>
      </w:r>
    </w:p>
    <w:p>
      <w:pPr>
        <w:spacing w:before="90" w:after="40" w:line="252" w:lineRule="auto"/>
      </w:pPr>
      <w:r>
        <w:rPr>
          <w:rFonts w:ascii="Arial" w:hAnsi="Arial"/>
          <w:b/>
          <w:sz w:val="21"/>
        </w:rPr>
        <w:t>WORK EXPERIENCE</w:t>
      </w:r>
    </w:p>
    <w:p>
      <w:pPr>
        <w:spacing w:before="20" w:after="20" w:line="252" w:lineRule="auto"/>
        <w:jc w:val="left"/>
      </w:pPr>
      <w:r>
        <w:rPr>
          <w:rFonts w:ascii="Arial" w:hAnsi="Arial"/>
          <w:b/>
          <w:sz w:val="19"/>
        </w:rPr>
        <w:t>Finance Intern | KPMG India — Noida</w:t>
      </w:r>
      <w:r>
        <w:rPr>
          <w:rFonts w:ascii="Arial" w:hAnsi="Arial"/>
          <w:b w:val="0"/>
          <w:sz w:val="18"/>
        </w:rPr>
        <w:tab/>
        <w:t>May 2025 – Jul 2025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Built and maintained budget vs. actual trackers in Excel, surfacing key cost drivers and operational KPIs for management reporting packs presented to senior stakeholders.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Executed variance analysis and ratio benchmarking across client portfolios; identified cost deviations of up to 15% from budgeted actuals, enabling targeted corrective action.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Developed Python-based (Pandas) regression and correlation models for recurring financial review cycles, reducing manual analysis time by ~30%.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Supported financial due diligence on client income statements, balance sheets, and cash flow statements for accuracy and compliance.</w:t>
      </w:r>
    </w:p>
    <w:p>
      <w:pPr>
        <w:spacing w:before="30" w:after="20" w:line="252" w:lineRule="auto"/>
        <w:jc w:val="left"/>
      </w:pPr>
      <w:r>
        <w:rPr>
          <w:rFonts w:ascii="Arial" w:hAnsi="Arial"/>
          <w:b/>
          <w:sz w:val="19"/>
        </w:rPr>
        <w:t>Operations Executive | IndusInd Bank — Patna</w:t>
      </w:r>
      <w:r>
        <w:rPr>
          <w:rFonts w:ascii="Arial" w:hAnsi="Arial"/>
          <w:b w:val="0"/>
          <w:sz w:val="18"/>
        </w:rPr>
        <w:tab/>
        <w:t>Dec 2023 – Feb 2024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Managed banking operations including compliance reporting and audit-ready financial documentation across 200+ monthly transactions with zero errors.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Conducted periodic data accuracy checks aligned with RBI guidelines, contributing to a clean internal audit outcome.</w:t>
      </w:r>
    </w:p>
    <w:p>
      <w:pPr>
        <w:spacing w:before="30" w:after="20" w:line="252" w:lineRule="auto"/>
        <w:jc w:val="left"/>
      </w:pPr>
      <w:r>
        <w:rPr>
          <w:rFonts w:ascii="Arial" w:hAnsi="Arial"/>
          <w:b/>
          <w:sz w:val="19"/>
        </w:rPr>
        <w:t>Management Trainee | Ceasefire Industries Pvt. Ltd. — Patna</w:t>
      </w:r>
      <w:r>
        <w:rPr>
          <w:rFonts w:ascii="Arial" w:hAnsi="Arial"/>
          <w:b w:val="0"/>
          <w:sz w:val="18"/>
        </w:rPr>
        <w:tab/>
        <w:t>Jul 2022 – Dec 2022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Prepared and maintained MIS reports tracking revenues, costs, and KPIs across sales and operations divisions.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Identified a 10–12% gap between projected and actual sales volumes in Q3 2022 via monthly data analysis, enabling timely management action.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Reduced reporting cycle time by ~2 days through standardised data collection templates.</w:t>
      </w:r>
    </w:p>
    <w:p>
      <w:pPr>
        <w:spacing w:before="90" w:after="40" w:line="252" w:lineRule="auto"/>
      </w:pPr>
      <w:r>
        <w:rPr>
          <w:rFonts w:ascii="Arial" w:hAnsi="Arial"/>
          <w:b/>
          <w:sz w:val="21"/>
        </w:rPr>
        <w:t>FINANCE PROJECTS &amp; MODELLING</w:t>
      </w:r>
    </w:p>
    <w:p>
      <w:pPr>
        <w:spacing w:before="20" w:after="20" w:line="252" w:lineRule="auto"/>
        <w:jc w:val="left"/>
      </w:pPr>
      <w:r>
        <w:rPr>
          <w:rFonts w:ascii="Arial" w:hAnsi="Arial"/>
          <w:b/>
          <w:sz w:val="19"/>
        </w:rPr>
        <w:t>Integrated 3-Statement Financial Model — Automotive Industry</w:t>
      </w:r>
      <w:r>
        <w:rPr>
          <w:rFonts w:ascii="Arial" w:hAnsi="Arial"/>
          <w:b w:val="0"/>
          <w:sz w:val="18"/>
        </w:rPr>
        <w:tab/>
        <w:t>May – Jul 2025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Built a dynamically linked 3-statement model (P&amp;L, Balance Sheet, Cash Flow) forecasting 5-year performance for a major Indian automotive manufacturer.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Quantified impact of raw material cost changes via sensitivity &amp; scenario analysis — a 10% rise in steel costs compresses net margin by ~3.5%.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Automated forecasting logic using INDEX-MATCH, OFFSET, and dynamic named ranges ensuring 100% data integrity across all integrated statements.</w:t>
      </w:r>
    </w:p>
    <w:p>
      <w:pPr>
        <w:spacing w:before="30" w:after="20" w:line="252" w:lineRule="auto"/>
        <w:jc w:val="left"/>
      </w:pPr>
      <w:r>
        <w:rPr>
          <w:rFonts w:ascii="Arial" w:hAnsi="Arial"/>
          <w:b/>
          <w:sz w:val="19"/>
        </w:rPr>
        <w:t>Competitive Benchmarking &amp; Financial Modelling — FMCG / Consumer Sector</w:t>
      </w:r>
      <w:r>
        <w:rPr>
          <w:rFonts w:ascii="Arial" w:hAnsi="Arial"/>
          <w:b w:val="0"/>
          <w:sz w:val="18"/>
        </w:rPr>
        <w:tab/>
        <w:t>Feb – Apr 2025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Benchmarked 6 companies on gross margins, EBITDA, cost-to-revenue ratios, and working capital efficiency; findings informed strategic operating leverage recommendations.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Built scenario models to assess cost volatility on free cash flow stability; results proposed margin improvement levers to decision-makers.</w:t>
      </w:r>
    </w:p>
    <w:p>
      <w:pPr>
        <w:pStyle w:val="ListParagraph"/>
        <w:spacing w:before="10" w:after="30" w:line="252" w:lineRule="auto"/>
        <w:ind w:left="288"/>
      </w:pPr>
      <w:r>
        <w:rPr>
          <w:rFonts w:ascii="Arial" w:hAnsi="Arial"/>
          <w:sz w:val="18"/>
        </w:rPr>
        <w:t>• Visualised insights via Power BI dashboards enabling non-finance stakeholders to interpret margin trends and KPI variances at a glance.</w:t>
      </w:r>
    </w:p>
    <w:p>
      <w:pPr>
        <w:spacing w:before="90" w:after="40" w:line="252" w:lineRule="auto"/>
      </w:pPr>
      <w:r>
        <w:rPr>
          <w:rFonts w:ascii="Arial" w:hAnsi="Arial"/>
          <w:b/>
          <w:sz w:val="21"/>
        </w:rPr>
        <w:t>EDUCATION</w:t>
      </w:r>
    </w:p>
    <w:p>
      <w:pPr>
        <w:spacing w:before="0" w:after="20" w:line="252" w:lineRule="auto"/>
        <w:jc w:val="left"/>
      </w:pPr>
      <w:r>
        <w:rPr>
          <w:rFonts w:ascii="Arial" w:hAnsi="Arial"/>
          <w:b/>
          <w:sz w:val="19"/>
        </w:rPr>
        <w:t>PGDM — Finance (MBA Equivalent) | IMS Ghaziabad</w:t>
      </w:r>
      <w:r>
        <w:rPr>
          <w:rFonts w:ascii="Arial" w:hAnsi="Arial"/>
          <w:b w:val="0"/>
          <w:sz w:val="18"/>
        </w:rPr>
        <w:tab/>
        <w:t>CGPA: 8.3 / 10  |  2024 – 2026</w:t>
      </w:r>
    </w:p>
    <w:p>
      <w:pPr>
        <w:spacing w:before="0" w:after="40" w:line="252" w:lineRule="auto"/>
        <w:jc w:val="left"/>
      </w:pPr>
      <w:r>
        <w:rPr>
          <w:rFonts w:ascii="Arial" w:hAnsi="Arial"/>
          <w:b/>
          <w:sz w:val="19"/>
        </w:rPr>
        <w:t>BBA | Amity University, Patna</w:t>
      </w:r>
      <w:r>
        <w:rPr>
          <w:rFonts w:ascii="Arial" w:hAnsi="Arial"/>
          <w:b w:val="0"/>
          <w:sz w:val="18"/>
        </w:rPr>
        <w:tab/>
        <w:t>75.4%  |  2019 – 2022</w:t>
      </w:r>
    </w:p>
    <w:p>
      <w:pPr>
        <w:spacing w:before="90" w:after="40" w:line="252" w:lineRule="auto"/>
      </w:pPr>
      <w:r>
        <w:rPr>
          <w:rFonts w:ascii="Arial" w:hAnsi="Arial"/>
          <w:b/>
          <w:sz w:val="21"/>
        </w:rPr>
        <w:t>CERTIFICATIONS &amp; LANGUAGES</w:t>
      </w:r>
    </w:p>
    <w:p>
      <w:pPr>
        <w:spacing w:before="0" w:after="20" w:line="252" w:lineRule="auto"/>
        <w:jc w:val="left"/>
      </w:pPr>
      <w:r>
        <w:rPr>
          <w:rFonts w:ascii="Arial" w:hAnsi="Arial"/>
          <w:b/>
          <w:sz w:val="19"/>
        </w:rPr>
        <w:t xml:space="preserve">Certifications: </w:t>
      </w:r>
      <w:r>
        <w:rPr>
          <w:rFonts w:ascii="Arial" w:hAnsi="Arial"/>
          <w:b w:val="0"/>
          <w:sz w:val="18"/>
        </w:rPr>
        <w:t>Financial Modelling &amp; Valuation — KPMG India   |   Advanced Excel — Udemy</w:t>
      </w:r>
    </w:p>
    <w:p>
      <w:pPr>
        <w:spacing w:before="0" w:after="20" w:line="252" w:lineRule="auto"/>
        <w:jc w:val="left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b w:val="0"/>
          <w:sz w:val="18"/>
        </w:rPr>
        <w:t>English (Professional Working Proficiency), Hindi (Native)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