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drawing>
          <wp:inline distT="0" distB="0" distL="0" distR="0">
            <wp:extent cx="1524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000125"/>
                    </a:xfrm>
                    <a:prstGeom prst="rect">
                      <a:avLst/>
                    </a:prstGeom>
                  </pic:spPr>
                </pic:pic>
              </a:graphicData>
            </a:graphic>
          </wp:inline>
        </w:drawing>
      </w:r>
    </w:p>
    <w:p>
      <w:pPr>
        <w:spacing w:before="80" w:after="40"/>
        <w:jc w:val="center"/>
      </w:pPr>
      <w:r>
        <w:rPr>
          <w:rFonts w:ascii="Arial" w:cs="Arial" w:eastAsia="Arial" w:hAnsi="Arial"/>
          <w:b/>
          <w:bCs/>
          <w:color w:val="1F2937"/>
          <w:spacing w:val="80"/>
          <w:sz w:val="28"/>
          <w:szCs w:val="28"/>
        </w:rPr>
        <w:t xml:space="preserve">CREATIVE CODEX</w:t>
      </w:r>
    </w:p>
    <w:p>
      <w:pPr>
        <w:spacing w:before="40" w:after="40"/>
        <w:jc w:val="center"/>
      </w:pPr>
      <w:r>
        <w:rPr>
          <w:rFonts w:ascii="Arial" w:cs="Arial" w:eastAsia="Arial" w:hAnsi="Arial"/>
          <w:b/>
          <w:bCs/>
          <w:color w:val="C00000"/>
          <w:sz w:val="36"/>
          <w:szCs w:val="36"/>
        </w:rPr>
        <w:t xml:space="preserve">Offroad Autonomy Segmentation Model</w:t>
      </w:r>
    </w:p>
    <w:p>
      <w:pPr>
        <w:spacing w:before="40" w:after="40"/>
        <w:jc w:val="center"/>
      </w:pPr>
      <w:r>
        <w:rPr>
          <w:rFonts w:ascii="Arial" w:cs="Arial" w:eastAsia="Arial" w:hAnsi="Arial"/>
          <w:i/>
          <w:iCs/>
          <w:color w:val="6B7280"/>
          <w:sz w:val="22"/>
          <w:szCs w:val="22"/>
        </w:rPr>
        <w:t xml:space="preserve">Duality AI Hackathon Submission  |  Xen-O-Thon 2026</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2"/>
              <w:left w:val="single" w:color="C00000" w:sz="12"/>
              <w:bottom w:val="single" w:color="D1D5DB" w:sz="1"/>
              <w:right w:val="single" w:color="D1D5DB" w:sz="1"/>
            </w:tcBorders>
            <w:shd w:fill="FFF8F8" w:val="clear"/>
            <w:tcMar>
              <w:top w:type="dxa" w:w="180"/>
              <w:left w:type="dxa" w:w="240"/>
              <w:bottom w:type="dxa" w:w="180"/>
              <w:right w:type="dxa" w:w="240"/>
            </w:tcMar>
          </w:tcPr>
          <w:p>
            <w:pPr>
              <w:spacing w:before="0" w:after="80"/>
            </w:pPr>
            <w:r>
              <w:rPr>
                <w:rFonts w:ascii="Arial" w:cs="Arial" w:eastAsia="Arial" w:hAnsi="Arial"/>
                <w:b/>
                <w:bCs/>
                <w:color w:val="C00000"/>
                <w:sz w:val="24"/>
                <w:szCs w:val="24"/>
              </w:rPr>
              <w:t xml:space="preserve">Abstract</w:t>
            </w:r>
          </w:p>
          <w:p>
            <w:pPr>
              <w:spacing w:before="0" w:after="0"/>
            </w:pPr>
            <w:r>
              <w:rPr>
                <w:rFonts w:ascii="Arial" w:cs="Arial" w:eastAsia="Arial" w:hAnsi="Arial"/>
                <w:i/>
                <w:iCs/>
                <w:color w:val="1F2937"/>
                <w:sz w:val="21"/>
                <w:szCs w:val="21"/>
              </w:rPr>
              <w:t xml:space="preserve">This project focuses on building a semantic segmentation model for accurate pixel-level classification of offroad terrain environments using synthetic data. We leverage a frozen DINOv2 Vision Transformer backbone with a custom segmentation head, achieving a final mIoU of 0.725 — a significant improvement over the baseline of 0.29 across 10 terrain classes.</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1D5DB" w:sz="1"/>
              <w:left w:val="single" w:color="D1D5DB" w:sz="1"/>
              <w:bottom w:val="single" w:color="D1D5DB" w:sz="1"/>
              <w:right w:val="single" w:color="D1D5DB" w:sz="1"/>
            </w:tcBorders>
            <w:shd w:fill="F3F4F6" w:val="clear"/>
            <w:tcMar>
              <w:top w:type="dxa" w:w="120"/>
              <w:left w:type="dxa" w:w="150"/>
              <w:bottom w:type="dxa" w:w="120"/>
              <w:right w:type="dxa" w:w="150"/>
            </w:tcMar>
          </w:tcPr>
          <w:p>
            <w:pPr>
              <w:jc w:val="center"/>
            </w:pPr>
            <w:r>
              <w:rPr>
                <w:rFonts w:ascii="Arial" w:cs="Arial" w:eastAsia="Arial" w:hAnsi="Arial"/>
                <w:color w:val="6B7280"/>
                <w:sz w:val="18"/>
                <w:szCs w:val="18"/>
              </w:rPr>
              <w:t xml:space="preserve">Baseline IoU</w:t>
            </w:r>
          </w:p>
          <w:p>
            <w:pPr>
              <w:jc w:val="center"/>
            </w:pPr>
            <w:r>
              <w:rPr>
                <w:rFonts w:ascii="Arial" w:cs="Arial" w:eastAsia="Arial" w:hAnsi="Arial"/>
                <w:b/>
                <w:bCs/>
                <w:color w:val="6B7280"/>
                <w:sz w:val="40"/>
                <w:szCs w:val="40"/>
              </w:rPr>
              <w:t xml:space="preserve">0.29</w:t>
            </w:r>
          </w:p>
        </w:tc>
        <w:tc>
          <w:tcPr>
            <w:tcBorders>
              <w:top w:val="single" w:color="D1D5DB" w:sz="1"/>
              <w:left w:val="single" w:color="D1D5DB" w:sz="1"/>
              <w:bottom w:val="single" w:color="D1D5DB" w:sz="1"/>
              <w:right w:val="single" w:color="D1D5DB" w:sz="1"/>
            </w:tcBorders>
            <w:shd w:fill="FFF0F0" w:val="clear"/>
            <w:tcMar>
              <w:top w:type="dxa" w:w="120"/>
              <w:left w:type="dxa" w:w="150"/>
              <w:bottom w:type="dxa" w:w="120"/>
              <w:right w:type="dxa" w:w="150"/>
            </w:tcMar>
          </w:tcPr>
          <w:p>
            <w:pPr>
              <w:jc w:val="center"/>
            </w:pPr>
            <w:r>
              <w:rPr>
                <w:rFonts w:ascii="Arial" w:cs="Arial" w:eastAsia="Arial" w:hAnsi="Arial"/>
                <w:color w:val="6B7280"/>
                <w:sz w:val="18"/>
                <w:szCs w:val="18"/>
              </w:rPr>
              <w:t xml:space="preserve">Final IoU</w:t>
            </w:r>
          </w:p>
          <w:p>
            <w:pPr>
              <w:jc w:val="center"/>
            </w:pPr>
            <w:r>
              <w:rPr>
                <w:rFonts w:ascii="Arial" w:cs="Arial" w:eastAsia="Arial" w:hAnsi="Arial"/>
                <w:b/>
                <w:bCs/>
                <w:color w:val="C00000"/>
                <w:sz w:val="40"/>
                <w:szCs w:val="40"/>
              </w:rPr>
              <w:t xml:space="preserve">0.725</w:t>
            </w:r>
          </w:p>
        </w:tc>
        <w:tc>
          <w:tcPr>
            <w:tcBorders>
              <w:top w:val="single" w:color="D1D5DB" w:sz="1"/>
              <w:left w:val="single" w:color="D1D5DB" w:sz="1"/>
              <w:bottom w:val="single" w:color="D1D5DB" w:sz="1"/>
              <w:right w:val="single" w:color="D1D5DB" w:sz="1"/>
            </w:tcBorders>
            <w:shd w:fill="FFF0F0" w:val="clear"/>
            <w:tcMar>
              <w:top w:type="dxa" w:w="120"/>
              <w:left w:type="dxa" w:w="150"/>
              <w:bottom w:type="dxa" w:w="120"/>
              <w:right w:type="dxa" w:w="150"/>
            </w:tcMar>
          </w:tcPr>
          <w:p>
            <w:pPr>
              <w:jc w:val="center"/>
            </w:pPr>
            <w:r>
              <w:rPr>
                <w:rFonts w:ascii="Arial" w:cs="Arial" w:eastAsia="Arial" w:hAnsi="Arial"/>
                <w:color w:val="6B7280"/>
                <w:sz w:val="18"/>
                <w:szCs w:val="18"/>
              </w:rPr>
              <w:t xml:space="preserve">Improvement</w:t>
            </w:r>
          </w:p>
          <w:p>
            <w:pPr>
              <w:jc w:val="center"/>
            </w:pPr>
            <w:r>
              <w:rPr>
                <w:rFonts w:ascii="Arial" w:cs="Arial" w:eastAsia="Arial" w:hAnsi="Arial"/>
                <w:b/>
                <w:bCs/>
                <w:color w:val="C00000"/>
                <w:sz w:val="40"/>
                <w:szCs w:val="40"/>
              </w:rPr>
              <w:t xml:space="preserve">+150%</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Hackathon</w:t>
            </w:r>
          </w:p>
        </w:tc>
        <w:tc>
          <w:tcPr>
            <w:tcBorders>
              <w:top w:val="single" w:color="D1D5DB" w:sz="1"/>
              <w:left w:val="single" w:color="D1D5DB" w:sz="1"/>
              <w:bottom w:val="single" w:color="D1D5DB" w:sz="1"/>
              <w:right w:val="single" w:color="D1D5DB" w:sz="1"/>
            </w:tcBorders>
            <w:tcMar>
              <w:top w:type="dxa" w:w="80"/>
              <w:left w:type="dxa" w:w="150"/>
              <w:bottom w:type="dxa" w:w="80"/>
              <w:right w:type="dxa" w:w="150"/>
            </w:tcMar>
          </w:tcPr>
          <w:p>
            <w:r>
              <w:rPr>
                <w:rFonts w:ascii="Arial" w:cs="Arial" w:eastAsia="Arial" w:hAnsi="Arial"/>
                <w:sz w:val="20"/>
                <w:szCs w:val="20"/>
              </w:rPr>
              <w:t xml:space="preserve">Xen-O-Thon 2026</w:t>
            </w:r>
          </w:p>
        </w:tc>
      </w:tr>
      <w:tr>
        <w:tc>
          <w:tcPr>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Date</w:t>
            </w:r>
          </w:p>
        </w:tc>
        <w:tc>
          <w:tcPr>
            <w:tcBorders>
              <w:top w:val="single" w:color="D1D5DB" w:sz="1"/>
              <w:left w:val="single" w:color="D1D5DB" w:sz="1"/>
              <w:bottom w:val="single" w:color="D1D5DB" w:sz="1"/>
              <w:right w:val="single" w:color="D1D5DB" w:sz="1"/>
            </w:tcBorders>
            <w:tcMar>
              <w:top w:type="dxa" w:w="80"/>
              <w:left w:type="dxa" w:w="150"/>
              <w:bottom w:type="dxa" w:w="80"/>
              <w:right w:type="dxa" w:w="150"/>
            </w:tcMar>
          </w:tcPr>
          <w:p>
            <w:r>
              <w:rPr>
                <w:rFonts w:ascii="Arial" w:cs="Arial" w:eastAsia="Arial" w:hAnsi="Arial"/>
                <w:sz w:val="20"/>
                <w:szCs w:val="20"/>
              </w:rPr>
              <w:t xml:space="preserve">19-03-2026</w:t>
            </w:r>
          </w:p>
        </w:tc>
      </w:tr>
      <w:tr>
        <w:tc>
          <w:tcPr>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Track</w:t>
            </w:r>
          </w:p>
        </w:tc>
        <w:tc>
          <w:tcPr>
            <w:tcBorders>
              <w:top w:val="single" w:color="D1D5DB" w:sz="1"/>
              <w:left w:val="single" w:color="D1D5DB" w:sz="1"/>
              <w:bottom w:val="single" w:color="D1D5DB" w:sz="1"/>
              <w:right w:val="single" w:color="D1D5DB" w:sz="1"/>
            </w:tcBorders>
            <w:tcMar>
              <w:top w:type="dxa" w:w="80"/>
              <w:left w:type="dxa" w:w="150"/>
              <w:bottom w:type="dxa" w:w="80"/>
              <w:right w:type="dxa" w:w="150"/>
            </w:tcMar>
          </w:tcPr>
          <w:p>
            <w:r>
              <w:rPr>
                <w:rFonts w:ascii="Arial" w:cs="Arial" w:eastAsia="Arial" w:hAnsi="Arial"/>
                <w:sz w:val="20"/>
                <w:szCs w:val="20"/>
              </w:rPr>
              <w:t xml:space="preserve">Semantic Segmentation  —  Duality AI</w:t>
            </w:r>
          </w:p>
        </w:tc>
      </w:tr>
      <w:tr>
        <w:tc>
          <w:tcPr>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Team</w:t>
            </w:r>
          </w:p>
        </w:tc>
        <w:tc>
          <w:tcPr>
            <w:tcBorders>
              <w:top w:val="single" w:color="D1D5DB" w:sz="1"/>
              <w:left w:val="single" w:color="D1D5DB" w:sz="1"/>
              <w:bottom w:val="single" w:color="D1D5DB" w:sz="1"/>
              <w:right w:val="single" w:color="D1D5DB" w:sz="1"/>
            </w:tcBorders>
            <w:tcMar>
              <w:top w:type="dxa" w:w="80"/>
              <w:left w:type="dxa" w:w="150"/>
              <w:bottom w:type="dxa" w:w="80"/>
              <w:right w:type="dxa" w:w="150"/>
            </w:tcMar>
          </w:tcPr>
          <w:p>
            <w:r>
              <w:rPr>
                <w:rFonts w:ascii="Arial" w:cs="Arial" w:eastAsia="Arial" w:hAnsi="Arial"/>
                <w:b/>
                <w:bCs/>
                <w:color w:val="C00000"/>
                <w:sz w:val="20"/>
                <w:szCs w:val="20"/>
              </w:rPr>
              <w:t xml:space="preserve">Creative Codex</w:t>
            </w:r>
          </w:p>
        </w:tc>
      </w:tr>
      <w:tr>
        <w:tc>
          <w:tcPr>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Team Members</w:t>
            </w:r>
          </w:p>
        </w:tc>
        <w:tc>
          <w:tcPr>
            <w:tcBorders>
              <w:top w:val="single" w:color="D1D5DB" w:sz="1"/>
              <w:left w:val="single" w:color="D1D5DB" w:sz="1"/>
              <w:bottom w:val="single" w:color="D1D5DB" w:sz="1"/>
              <w:right w:val="single" w:color="D1D5DB" w:sz="1"/>
            </w:tcBorders>
            <w:tcMar>
              <w:top w:type="dxa" w:w="80"/>
              <w:left w:type="dxa" w:w="150"/>
              <w:bottom w:type="dxa" w:w="80"/>
              <w:right w:type="dxa" w:w="150"/>
            </w:tcMar>
          </w:tcPr>
          <w:p>
            <w:pPr>
              <w:spacing w:before="40" w:after="20"/>
            </w:pPr>
            <w:r>
              <w:rPr>
                <w:rFonts w:ascii="Arial" w:cs="Arial" w:eastAsia="Arial" w:hAnsi="Arial"/>
                <w:sz w:val="20"/>
                <w:szCs w:val="20"/>
              </w:rPr>
              <w:t xml:space="preserve">1. Harshit Mendiratta — AI Engineer</w:t>
            </w:r>
          </w:p>
          <w:p>
            <w:pPr>
              <w:spacing w:before="20" w:after="20"/>
            </w:pPr>
            <w:r>
              <w:rPr>
                <w:rFonts w:ascii="Arial" w:cs="Arial" w:eastAsia="Arial" w:hAnsi="Arial"/>
                <w:sz w:val="20"/>
                <w:szCs w:val="20"/>
              </w:rPr>
              <w:t xml:space="preserve">2. Ayush Rai — AI Engineer</w:t>
            </w:r>
          </w:p>
          <w:p>
            <w:pPr>
              <w:spacing w:before="20" w:after="40"/>
            </w:pPr>
            <w:r>
              <w:rPr>
                <w:rFonts w:ascii="Arial" w:cs="Arial" w:eastAsia="Arial" w:hAnsi="Arial"/>
                <w:sz w:val="20"/>
                <w:szCs w:val="20"/>
              </w:rPr>
              <w:t xml:space="preserve">3. Rakshit Dahiya — Documentation</w:t>
            </w:r>
          </w:p>
        </w:tc>
      </w:tr>
    </w:tbl>
    <w:p>
      <w:r>
        <w:br w:type="page"/>
      </w:r>
    </w:p>
    <w:p>
      <w:pPr>
        <w:pStyle w:val="Heading1"/>
        <w:pBdr>
          <w:bottom w:val="single" w:color="C00000" w:sz="6" w:space="4"/>
        </w:pBdr>
        <w:spacing w:before="360" w:after="120"/>
      </w:pPr>
      <w:r>
        <w:rPr>
          <w:rFonts w:ascii="Arial" w:cs="Arial" w:eastAsia="Arial" w:hAnsi="Arial"/>
          <w:b/>
          <w:bCs/>
          <w:color w:val="C00000"/>
          <w:sz w:val="32"/>
          <w:szCs w:val="32"/>
        </w:rPr>
        <w:t xml:space="preserve">1. Problem Statement</w:t>
      </w:r>
    </w:p>
    <w:p>
      <w:pPr>
        <w:spacing w:before="80" w:after="80"/>
        <w:jc w:val="left"/>
      </w:pPr>
      <w:r>
        <w:rPr>
          <w:rFonts w:ascii="Arial" w:cs="Arial" w:eastAsia="Arial" w:hAnsi="Arial"/>
          <w:b w:val="false"/>
          <w:bCs w:val="false"/>
          <w:i w:val="false"/>
          <w:iCs w:val="false"/>
          <w:color w:val="1F2937"/>
          <w:sz w:val="22"/>
          <w:szCs w:val="22"/>
        </w:rPr>
        <w:t xml:space="preserve">Autonomous navigation in off-road environments presents unique challenges that traditional segmentation models struggle to address. The core issues we set out to solve are:</w:t>
      </w:r>
    </w:p>
    <w:p>
      <w:pPr>
        <w:spacing w:before="100" w:after="100"/>
      </w:pPr>
      <w:r>
        <w:t xml:space="preserve"/>
      </w:r>
    </w:p>
    <w:p>
      <w:pPr>
        <w:pStyle w:val="ListParagraph"/>
        <w:numPr>
          <w:ilvl w:val="0"/>
          <w:numId w:val="2"/>
        </w:numPr>
        <w:spacing w:before="60" w:after="60"/>
      </w:pPr>
      <w:r>
        <w:rPr>
          <w:rFonts w:ascii="Arial" w:cs="Arial" w:eastAsia="Arial" w:hAnsi="Arial"/>
          <w:color w:val="1F2937"/>
          <w:sz w:val="22"/>
          <w:szCs w:val="22"/>
        </w:rPr>
        <w:t xml:space="preserve">Limited Labeled Data — Off-road terrain datasets are scarce and expensive to annotate at pixel level, making it difficult to train robust models.</w:t>
      </w:r>
    </w:p>
    <w:p>
      <w:pPr>
        <w:pStyle w:val="ListParagraph"/>
        <w:numPr>
          <w:ilvl w:val="0"/>
          <w:numId w:val="2"/>
        </w:numPr>
        <w:spacing w:before="60" w:after="60"/>
      </w:pPr>
      <w:r>
        <w:rPr>
          <w:rFonts w:ascii="Arial" w:cs="Arial" w:eastAsia="Arial" w:hAnsi="Arial"/>
          <w:color w:val="1F2937"/>
          <w:sz w:val="22"/>
          <w:szCs w:val="22"/>
        </w:rPr>
        <w:t xml:space="preserve">Poor Generalisation — Models trained on one terrain type fail on unseen environments, limiting real-world applicability.</w:t>
      </w:r>
    </w:p>
    <w:p>
      <w:pPr>
        <w:pStyle w:val="ListParagraph"/>
        <w:numPr>
          <w:ilvl w:val="0"/>
          <w:numId w:val="2"/>
        </w:numPr>
        <w:spacing w:before="60" w:after="60"/>
      </w:pPr>
      <w:r>
        <w:rPr>
          <w:rFonts w:ascii="Arial" w:cs="Arial" w:eastAsia="Arial" w:hAnsi="Arial"/>
          <w:color w:val="1F2937"/>
          <w:sz w:val="22"/>
          <w:szCs w:val="22"/>
        </w:rPr>
        <w:t xml:space="preserve">Class Imbalance — Rare terrain classes (Logs, Ground Clutter, Rocks) are frequently ignored during training, which compromises safety in real autonomous systems.</w:t>
      </w:r>
    </w:p>
    <w:p>
      <w:pPr>
        <w:pStyle w:val="ListParagraph"/>
        <w:numPr>
          <w:ilvl w:val="0"/>
          <w:numId w:val="2"/>
        </w:numPr>
        <w:spacing w:before="60" w:after="60"/>
      </w:pPr>
      <w:r>
        <w:rPr>
          <w:rFonts w:ascii="Arial" w:cs="Arial" w:eastAsia="Arial" w:hAnsi="Arial"/>
          <w:color w:val="1F2937"/>
          <w:sz w:val="22"/>
          <w:szCs w:val="22"/>
        </w:rPr>
        <w:t xml:space="preserve">Weak Small-Object Detection — Fine-grained terrain features are easily missed by standard segmentation architectures.</w:t>
      </w:r>
    </w:p>
    <w:p>
      <w:pPr>
        <w:spacing w:before="100" w:after="100"/>
      </w:pPr>
      <w:r>
        <w:t xml:space="preserve"/>
      </w:r>
    </w:p>
    <w:p>
      <w:pPr>
        <w:spacing w:before="80" w:after="80"/>
        <w:jc w:val="left"/>
      </w:pPr>
      <w:r>
        <w:rPr>
          <w:rFonts w:ascii="Arial" w:cs="Arial" w:eastAsia="Arial" w:hAnsi="Arial"/>
          <w:b w:val="false"/>
          <w:bCs w:val="false"/>
          <w:i w:val="false"/>
          <w:iCs w:val="false"/>
          <w:color w:val="1F2937"/>
          <w:sz w:val="22"/>
          <w:szCs w:val="22"/>
        </w:rPr>
        <w:t xml:space="preserve">Existing approaches rely heavily on large real-world datasets and fail to generalise effectively to synthetic offroad environments. Our goal was to achieve strong segmentation performance with limited data by leveraging pretrained models and synthetic data from Duality AI's simulation platform.</w:t>
      </w:r>
    </w:p>
    <w:p>
      <w:pPr>
        <w:pStyle w:val="Heading1"/>
        <w:pBdr>
          <w:bottom w:val="single" w:color="C00000" w:sz="6" w:space="4"/>
        </w:pBdr>
        <w:spacing w:before="360" w:after="120"/>
      </w:pPr>
      <w:r>
        <w:rPr>
          <w:rFonts w:ascii="Arial" w:cs="Arial" w:eastAsia="Arial" w:hAnsi="Arial"/>
          <w:b/>
          <w:bCs/>
          <w:color w:val="C00000"/>
          <w:sz w:val="32"/>
          <w:szCs w:val="32"/>
        </w:rPr>
        <w:t xml:space="preserve">2. Our Approach</w:t>
      </w:r>
    </w:p>
    <w:p>
      <w:pPr>
        <w:spacing w:before="80" w:after="80"/>
        <w:jc w:val="left"/>
      </w:pPr>
      <w:r>
        <w:rPr>
          <w:rFonts w:ascii="Arial" w:cs="Arial" w:eastAsia="Arial" w:hAnsi="Arial"/>
          <w:b w:val="false"/>
          <w:bCs w:val="false"/>
          <w:i w:val="false"/>
          <w:iCs w:val="false"/>
          <w:color w:val="1F2937"/>
          <w:sz w:val="22"/>
          <w:szCs w:val="22"/>
        </w:rPr>
        <w:t xml:space="preserve">We designed a two-part solution combining a powerful pretrained visual backbone with a lightweight custom segmentation head, specifically tuned for the offroad terrain classification task.</w:t>
      </w:r>
    </w:p>
    <w:p>
      <w:pPr>
        <w:spacing w:before="100" w:after="100"/>
      </w:pPr>
      <w:r>
        <w:t xml:space="preserve"/>
      </w:r>
    </w:p>
    <w:p>
      <w:pPr>
        <w:pStyle w:val="Heading2"/>
        <w:spacing w:before="240" w:after="120"/>
      </w:pPr>
      <w:r>
        <w:rPr>
          <w:rFonts w:ascii="Arial" w:cs="Arial" w:eastAsia="Arial" w:hAnsi="Arial"/>
          <w:b/>
          <w:bCs/>
          <w:color w:val="1F2937"/>
          <w:sz w:val="26"/>
          <w:szCs w:val="26"/>
        </w:rPr>
        <w:t xml:space="preserve">2.1 DINOv2 Backbone</w:t>
      </w:r>
    </w:p>
    <w:p>
      <w:pPr>
        <w:spacing w:before="80" w:after="80"/>
        <w:jc w:val="left"/>
      </w:pPr>
      <w:r>
        <w:rPr>
          <w:rFonts w:ascii="Arial" w:cs="Arial" w:eastAsia="Arial" w:hAnsi="Arial"/>
          <w:b w:val="false"/>
          <w:bCs w:val="false"/>
          <w:i w:val="false"/>
          <w:iCs w:val="false"/>
          <w:color w:val="1F2937"/>
          <w:sz w:val="22"/>
          <w:szCs w:val="22"/>
        </w:rPr>
        <w:t xml:space="preserve">We selected the DINOv2 ViT-B/14 (Vision Transformer Base) model as our frozen feature extractor. Pretrained on a massive diverse image corpus, DINOv2 provides rich 768-dimensional patch embeddings that transfer exceptionally well to new visual domains — including synthetic offroad scenes. By keeping the backbone frozen, we avoid overfitting on the limited dataset while still benefiting from its powerful representations.</w:t>
      </w:r>
    </w:p>
    <w:p>
      <w:pPr>
        <w:pStyle w:val="Heading2"/>
        <w:spacing w:before="240" w:after="120"/>
      </w:pPr>
      <w:r>
        <w:rPr>
          <w:rFonts w:ascii="Arial" w:cs="Arial" w:eastAsia="Arial" w:hAnsi="Arial"/>
          <w:b/>
          <w:bCs/>
          <w:color w:val="1F2937"/>
          <w:sz w:val="26"/>
          <w:szCs w:val="26"/>
        </w:rPr>
        <w:t xml:space="preserve">2.2 Synthetic Data Strategy</w:t>
      </w:r>
    </w:p>
    <w:p>
      <w:pPr>
        <w:spacing w:before="80" w:after="80"/>
        <w:jc w:val="left"/>
      </w:pPr>
      <w:r>
        <w:rPr>
          <w:rFonts w:ascii="Arial" w:cs="Arial" w:eastAsia="Arial" w:hAnsi="Arial"/>
          <w:b w:val="false"/>
          <w:bCs w:val="false"/>
          <w:i w:val="false"/>
          <w:iCs w:val="false"/>
          <w:color w:val="1F2937"/>
          <w:sz w:val="22"/>
          <w:szCs w:val="22"/>
        </w:rPr>
        <w:t xml:space="preserve">Instead of relying on scarce real-world annotations, we trained entirely on synthetic data generated by Duality AI's simulation platform. This gave us access to pixel-perfect ground truth masks across all 10 terrain classes without manual labelling effort.</w:t>
      </w:r>
    </w:p>
    <w:p>
      <w:pPr>
        <w:pStyle w:val="Heading2"/>
        <w:spacing w:before="240" w:after="120"/>
      </w:pPr>
      <w:r>
        <w:rPr>
          <w:rFonts w:ascii="Arial" w:cs="Arial" w:eastAsia="Arial" w:hAnsi="Arial"/>
          <w:b/>
          <w:bCs/>
          <w:color w:val="1F2937"/>
          <w:sz w:val="26"/>
          <w:szCs w:val="26"/>
        </w:rPr>
        <w:t xml:space="preserve">2.3 Targeted Data Augmentation</w:t>
      </w:r>
    </w:p>
    <w:p>
      <w:pPr>
        <w:spacing w:before="80" w:after="80"/>
        <w:jc w:val="left"/>
      </w:pPr>
      <w:r>
        <w:rPr>
          <w:rFonts w:ascii="Arial" w:cs="Arial" w:eastAsia="Arial" w:hAnsi="Arial"/>
          <w:b w:val="false"/>
          <w:bCs w:val="false"/>
          <w:i w:val="false"/>
          <w:iCs w:val="false"/>
          <w:color w:val="1F2937"/>
          <w:sz w:val="22"/>
          <w:szCs w:val="22"/>
        </w:rPr>
        <w:t xml:space="preserve">To improve generalisation and robustness, we applied 7 domain-specific augmentation techniques during training:</w:t>
      </w:r>
    </w:p>
    <w:p>
      <w:pPr>
        <w:spacing w:before="100" w:after="100"/>
      </w:pPr>
      <w:r>
        <w:t xml:space="preserve"/>
      </w:r>
    </w:p>
    <w:p>
      <w:pPr>
        <w:pStyle w:val="ListParagraph"/>
        <w:numPr>
          <w:ilvl w:val="0"/>
          <w:numId w:val="2"/>
        </w:numPr>
        <w:spacing w:before="60" w:after="60"/>
      </w:pPr>
      <w:r>
        <w:rPr>
          <w:rFonts w:ascii="Arial" w:cs="Arial" w:eastAsia="Arial" w:hAnsi="Arial"/>
          <w:color w:val="1F2937"/>
          <w:sz w:val="22"/>
          <w:szCs w:val="22"/>
        </w:rPr>
        <w:t xml:space="preserve">RandomResizedCrop (scale 0.5–1.0)</w:t>
      </w:r>
    </w:p>
    <w:p>
      <w:pPr>
        <w:pStyle w:val="ListParagraph"/>
        <w:numPr>
          <w:ilvl w:val="0"/>
          <w:numId w:val="2"/>
        </w:numPr>
        <w:spacing w:before="60" w:after="60"/>
      </w:pPr>
      <w:r>
        <w:rPr>
          <w:rFonts w:ascii="Arial" w:cs="Arial" w:eastAsia="Arial" w:hAnsi="Arial"/>
          <w:color w:val="1F2937"/>
          <w:sz w:val="22"/>
          <w:szCs w:val="22"/>
        </w:rPr>
        <w:t xml:space="preserve">HorizontalFlip (p=0.5) and VerticalFlip (p=0.2)</w:t>
      </w:r>
    </w:p>
    <w:p>
      <w:pPr>
        <w:pStyle w:val="ListParagraph"/>
        <w:numPr>
          <w:ilvl w:val="0"/>
          <w:numId w:val="2"/>
        </w:numPr>
        <w:spacing w:before="60" w:after="60"/>
      </w:pPr>
      <w:r>
        <w:rPr>
          <w:rFonts w:ascii="Arial" w:cs="Arial" w:eastAsia="Arial" w:hAnsi="Arial"/>
          <w:color w:val="1F2937"/>
          <w:sz w:val="22"/>
          <w:szCs w:val="22"/>
        </w:rPr>
        <w:t xml:space="preserve">RandomBrightnessContrast (p=0.4)</w:t>
      </w:r>
    </w:p>
    <w:p>
      <w:pPr>
        <w:pStyle w:val="ListParagraph"/>
        <w:numPr>
          <w:ilvl w:val="0"/>
          <w:numId w:val="2"/>
        </w:numPr>
        <w:spacing w:before="60" w:after="60"/>
      </w:pPr>
      <w:r>
        <w:rPr>
          <w:rFonts w:ascii="Arial" w:cs="Arial" w:eastAsia="Arial" w:hAnsi="Arial"/>
          <w:color w:val="1F2937"/>
          <w:sz w:val="22"/>
          <w:szCs w:val="22"/>
        </w:rPr>
        <w:t xml:space="preserve">HueSaturationValue (p=0.3)</w:t>
      </w:r>
    </w:p>
    <w:p>
      <w:pPr>
        <w:pStyle w:val="ListParagraph"/>
        <w:numPr>
          <w:ilvl w:val="0"/>
          <w:numId w:val="2"/>
        </w:numPr>
        <w:spacing w:before="60" w:after="60"/>
      </w:pPr>
      <w:r>
        <w:rPr>
          <w:rFonts w:ascii="Arial" w:cs="Arial" w:eastAsia="Arial" w:hAnsi="Arial"/>
          <w:color w:val="1F2937"/>
          <w:sz w:val="22"/>
          <w:szCs w:val="22"/>
        </w:rPr>
        <w:t xml:space="preserve">GaussNoise (p=0.2)</w:t>
      </w:r>
    </w:p>
    <w:p>
      <w:pPr>
        <w:pStyle w:val="ListParagraph"/>
        <w:numPr>
          <w:ilvl w:val="0"/>
          <w:numId w:val="2"/>
        </w:numPr>
        <w:spacing w:before="60" w:after="60"/>
      </w:pPr>
      <w:r>
        <w:rPr>
          <w:rFonts w:ascii="Arial" w:cs="Arial" w:eastAsia="Arial" w:hAnsi="Arial"/>
          <w:color w:val="1F2937"/>
          <w:sz w:val="22"/>
          <w:szCs w:val="22"/>
        </w:rPr>
        <w:t xml:space="preserve">GridDistortion (p=0.2)</w:t>
      </w:r>
    </w:p>
    <w:p>
      <w:pPr>
        <w:pStyle w:val="Heading2"/>
        <w:spacing w:before="240" w:after="120"/>
      </w:pPr>
      <w:r>
        <w:rPr>
          <w:rFonts w:ascii="Arial" w:cs="Arial" w:eastAsia="Arial" w:hAnsi="Arial"/>
          <w:b/>
          <w:bCs/>
          <w:color w:val="1F2937"/>
          <w:sz w:val="26"/>
          <w:szCs w:val="26"/>
        </w:rPr>
        <w:t xml:space="preserve">2.4 Class-Aware Loss Function</w:t>
      </w:r>
    </w:p>
    <w:p>
      <w:pPr>
        <w:spacing w:before="80" w:after="80"/>
        <w:jc w:val="left"/>
      </w:pPr>
      <w:r>
        <w:rPr>
          <w:rFonts w:ascii="Arial" w:cs="Arial" w:eastAsia="Arial" w:hAnsi="Arial"/>
          <w:b w:val="false"/>
          <w:bCs w:val="false"/>
          <w:i w:val="false"/>
          <w:iCs w:val="false"/>
          <w:color w:val="1F2937"/>
          <w:sz w:val="22"/>
          <w:szCs w:val="22"/>
        </w:rPr>
        <w:t xml:space="preserve">We replaced the baseline CrossEntropy loss with a combined Dice Loss + CrossEntropy loss (50/50 weighting). This combination explicitly optimises for overlap-based metrics like IoU, while also handling class imbalance more effectively than standard cross-entropy alone.</w:t>
      </w:r>
    </w:p>
    <w:p>
      <w:pPr>
        <w:pStyle w:val="Heading1"/>
        <w:pBdr>
          <w:bottom w:val="single" w:color="C00000" w:sz="6" w:space="4"/>
        </w:pBdr>
        <w:spacing w:before="360" w:after="120"/>
      </w:pPr>
      <w:r>
        <w:rPr>
          <w:rFonts w:ascii="Arial" w:cs="Arial" w:eastAsia="Arial" w:hAnsi="Arial"/>
          <w:b/>
          <w:bCs/>
          <w:color w:val="C00000"/>
          <w:sz w:val="32"/>
          <w:szCs w:val="32"/>
        </w:rPr>
        <w:t xml:space="preserve">3. Model Architecture</w:t>
      </w:r>
    </w:p>
    <w:p>
      <w:pPr>
        <w:spacing w:before="80" w:after="80"/>
        <w:jc w:val="left"/>
      </w:pPr>
      <w:r>
        <w:rPr>
          <w:rFonts w:ascii="Arial" w:cs="Arial" w:eastAsia="Arial" w:hAnsi="Arial"/>
          <w:b w:val="false"/>
          <w:bCs w:val="false"/>
          <w:i w:val="false"/>
          <w:iCs w:val="false"/>
          <w:color w:val="1F2937"/>
          <w:sz w:val="22"/>
          <w:szCs w:val="22"/>
        </w:rPr>
        <w:t xml:space="preserve">The model consists of two components: a frozen DINOv2 backbone for feature extraction, and a trainable segmentation head for pixel classification.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Details</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sz w:val="20"/>
                <w:szCs w:val="20"/>
              </w:rPr>
              <w:t xml:space="preserve">DINOv2 ViT-B/14</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Frozen, 768-dim patches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Rich pretrained feature extraction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Patch Token Grid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34 × 19 × 768</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Spatial feature map from backbone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sz w:val="20"/>
                <w:szCs w:val="20"/>
              </w:rPr>
              <w:t xml:space="preserve">Conv2d Block 1</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In→256, kernel 3×3, BN+GELU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Feature transformation layer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Conv2d Block 2</w:t>
            </w:r>
          </w:p>
        </w:tc>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256→256, kernel 3×3, BN+GELU</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Deep feature refinement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sz w:val="20"/>
                <w:szCs w:val="20"/>
              </w:rPr>
              <w:t xml:space="preserve">Conv2d Block 3</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256→128, kernel 3×3, BN+GELU</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Feature compression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Dropout2d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Rate = 0.1</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Regularisation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sz w:val="20"/>
                <w:szCs w:val="20"/>
              </w:rPr>
              <w:t xml:space="preserve">Final Conv</w:t>
            </w:r>
          </w:p>
        </w:tc>
        <w:tc>
          <w:tcPr>
            <w:tcW w:type="dxa" w:w="25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128→10, kernel 1×1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sz w:val="20"/>
                <w:szCs w:val="20"/>
              </w:rPr>
              <w:t xml:space="preserve">Class prediction per patch</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sz w:val="20"/>
                <w:szCs w:val="20"/>
              </w:rPr>
              <w:t xml:space="preserve">Bilinear Upsample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 476 × 266</w:t>
            </w:r>
          </w:p>
        </w:tc>
        <w:tc>
          <w:tcPr>
            <w:tcW w:type="dxa" w:w="4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sz w:val="20"/>
                <w:szCs w:val="20"/>
              </w:rPr>
              <w:t xml:space="preserve">Restore original resolution</w:t>
            </w:r>
          </w:p>
        </w:tc>
      </w:tr>
    </w:tbl>
    <w:p>
      <w:pPr>
        <w:spacing w:before="200" w:after="200"/>
      </w:pPr>
      <w:r>
        <w:t xml:space="preserve"/>
      </w:r>
    </w:p>
    <w:p>
      <w:pPr>
        <w:pStyle w:val="Heading1"/>
        <w:pBdr>
          <w:bottom w:val="single" w:color="C00000" w:sz="6" w:space="4"/>
        </w:pBdr>
        <w:spacing w:before="360" w:after="120"/>
      </w:pPr>
      <w:r>
        <w:rPr>
          <w:rFonts w:ascii="Arial" w:cs="Arial" w:eastAsia="Arial" w:hAnsi="Arial"/>
          <w:b/>
          <w:bCs/>
          <w:color w:val="C00000"/>
          <w:sz w:val="32"/>
          <w:szCs w:val="32"/>
        </w:rPr>
        <w:t xml:space="preserve">4.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Rationale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color w:val="1F2937"/>
                <w:sz w:val="20"/>
                <w:szCs w:val="20"/>
              </w:rPr>
              <w:t xml:space="preserve">Epochs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C00000"/>
                <w:sz w:val="20"/>
                <w:szCs w:val="20"/>
              </w:rPr>
              <w:t xml:space="preserve">50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Sufficient for convergence without overfitting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color w:val="1F2937"/>
                <w:sz w:val="20"/>
                <w:szCs w:val="20"/>
              </w:rPr>
              <w:t xml:space="preserve">Batch Size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C00000"/>
                <w:sz w:val="20"/>
                <w:szCs w:val="20"/>
              </w:rPr>
              <w:t xml:space="preserve">4</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1F2937"/>
                <w:sz w:val="20"/>
                <w:szCs w:val="20"/>
              </w:rPr>
              <w:t xml:space="preserve">Balances GPU memory and gradient stability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color w:val="1F2937"/>
                <w:sz w:val="20"/>
                <w:szCs w:val="20"/>
              </w:rPr>
              <w:t xml:space="preserve">Optimizer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C00000"/>
                <w:sz w:val="20"/>
                <w:szCs w:val="20"/>
              </w:rPr>
              <w:t xml:space="preserve">AdamW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Better weight decay than standard Adam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color w:val="1F2937"/>
                <w:sz w:val="20"/>
                <w:szCs w:val="20"/>
              </w:rPr>
              <w:t xml:space="preserve">Learning Rate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C00000"/>
                <w:sz w:val="20"/>
                <w:szCs w:val="20"/>
              </w:rPr>
              <w:t xml:space="preserve">3e-4</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1F2937"/>
                <w:sz w:val="20"/>
                <w:szCs w:val="20"/>
              </w:rPr>
              <w:t xml:space="preserve">Optimal for transformer-based fine-tuning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color w:val="1F2937"/>
                <w:sz w:val="20"/>
                <w:szCs w:val="20"/>
              </w:rPr>
              <w:t xml:space="preserve">LR Scheduler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C00000"/>
                <w:sz w:val="20"/>
                <w:szCs w:val="20"/>
              </w:rPr>
              <w:t xml:space="preserve">CosineAnnealing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Smooth decay, avoids local minima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color w:val="1F2937"/>
                <w:sz w:val="20"/>
                <w:szCs w:val="20"/>
              </w:rPr>
              <w:t xml:space="preserve">Loss Function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C00000"/>
                <w:sz w:val="20"/>
                <w:szCs w:val="20"/>
              </w:rPr>
              <w:t xml:space="preserve">Dice + CrossEntropy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1F2937"/>
                <w:sz w:val="20"/>
                <w:szCs w:val="20"/>
              </w:rPr>
              <w:t xml:space="preserve">Handles class imbalance, optimises IoU</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color w:val="1F2937"/>
                <w:sz w:val="20"/>
                <w:szCs w:val="20"/>
              </w:rPr>
              <w:t xml:space="preserve">Gradient Clipping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C00000"/>
                <w:sz w:val="20"/>
                <w:szCs w:val="20"/>
              </w:rPr>
              <w:t xml:space="preserve">max_norm = 1.0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Prevents exploding gradients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color w:val="1F2937"/>
                <w:sz w:val="20"/>
                <w:szCs w:val="20"/>
              </w:rPr>
              <w:t xml:space="preserve">Weight Decay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C00000"/>
                <w:sz w:val="20"/>
                <w:szCs w:val="20"/>
              </w:rPr>
              <w:t xml:space="preserve">1e-4</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1F2937"/>
                <w:sz w:val="20"/>
                <w:szCs w:val="20"/>
              </w:rPr>
              <w:t xml:space="preserve">Regularisation to prevent overfitting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bCs/>
                <w:color w:val="1F2937"/>
                <w:sz w:val="20"/>
                <w:szCs w:val="20"/>
              </w:rPr>
              <w:t xml:space="preserve">Input Resolution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C00000"/>
                <w:sz w:val="20"/>
                <w:szCs w:val="20"/>
              </w:rPr>
              <w:t xml:space="preserve">476 × 266</w:t>
            </w:r>
          </w:p>
        </w:tc>
        <w:tc>
          <w:tcPr>
            <w:tcW w:type="dxa" w:w="3360"/>
            <w:tcBorders>
              <w:top w:val="single" w:color="D1D5DB" w:sz="1"/>
              <w:left w:val="single" w:color="D1D5DB" w:sz="1"/>
              <w:bottom w:val="single" w:color="D1D5DB" w:sz="1"/>
              <w:right w:val="single" w:color="D1D5DB"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Optimised for DINOv2 patch size (÷14)</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bCs/>
                <w:color w:val="1F2937"/>
                <w:sz w:val="20"/>
                <w:szCs w:val="20"/>
              </w:rPr>
              <w:t xml:space="preserve">Platform</w:t>
            </w:r>
          </w:p>
        </w:tc>
        <w:tc>
          <w:tcPr>
            <w:tcW w:type="dxa" w:w="300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C00000"/>
                <w:sz w:val="20"/>
                <w:szCs w:val="20"/>
              </w:rPr>
              <w:t xml:space="preserve">Google Colab (GPU)</w:t>
            </w:r>
          </w:p>
        </w:tc>
        <w:tc>
          <w:tcPr>
            <w:tcW w:type="dxa" w:w="3360"/>
            <w:tcBorders>
              <w:top w:val="single" w:color="D1D5DB" w:sz="1"/>
              <w:left w:val="single" w:color="D1D5DB" w:sz="1"/>
              <w:bottom w:val="single" w:color="D1D5DB" w:sz="1"/>
              <w:right w:val="single" w:color="D1D5DB" w:sz="1"/>
            </w:tcBorders>
            <w:shd w:fill="F3F4F6" w:val="clear"/>
            <w:tcMar>
              <w:top w:type="dxa" w:w="80"/>
              <w:left w:type="dxa" w:w="150"/>
              <w:bottom w:type="dxa" w:w="80"/>
              <w:right w:type="dxa" w:w="150"/>
            </w:tcMar>
          </w:tcPr>
          <w:p>
            <w:r>
              <w:rPr>
                <w:rFonts w:ascii="Arial" w:cs="Arial" w:eastAsia="Arial" w:hAnsi="Arial"/>
                <w:b w:val="false"/>
                <w:bCs w:val="false"/>
                <w:color w:val="1F2937"/>
                <w:sz w:val="20"/>
                <w:szCs w:val="20"/>
              </w:rPr>
              <w:t xml:space="preserve">T4 / A100 GPU</w:t>
            </w:r>
          </w:p>
        </w:tc>
      </w:tr>
    </w:tbl>
    <w:p>
      <w:pPr>
        <w:spacing w:before="200" w:after="200"/>
      </w:pPr>
      <w:r>
        <w:t xml:space="preserve"/>
      </w:r>
    </w:p>
    <w:p>
      <w:pPr>
        <w:pStyle w:val="Heading1"/>
        <w:pBdr>
          <w:bottom w:val="single" w:color="C00000" w:sz="6" w:space="4"/>
        </w:pBdr>
        <w:spacing w:before="360" w:after="120"/>
      </w:pPr>
      <w:r>
        <w:rPr>
          <w:rFonts w:ascii="Arial" w:cs="Arial" w:eastAsia="Arial" w:hAnsi="Arial"/>
          <w:b/>
          <w:bCs/>
          <w:color w:val="C00000"/>
          <w:sz w:val="32"/>
          <w:szCs w:val="32"/>
        </w:rPr>
        <w:t xml:space="preserve">5. Dataset</w:t>
      </w:r>
    </w:p>
    <w:p>
      <w:pPr>
        <w:spacing w:before="80" w:after="80"/>
        <w:jc w:val="left"/>
      </w:pPr>
      <w:r>
        <w:rPr>
          <w:rFonts w:ascii="Arial" w:cs="Arial" w:eastAsia="Arial" w:hAnsi="Arial"/>
          <w:b w:val="false"/>
          <w:bCs w:val="false"/>
          <w:i w:val="false"/>
          <w:iCs w:val="false"/>
          <w:color w:val="1F2937"/>
          <w:sz w:val="22"/>
          <w:szCs w:val="22"/>
        </w:rPr>
        <w:t xml:space="preserve">We used the Duality AI Offroad Segmentation Dataset, which contains synthetic offroad terrain images rendered from a simulation environment with pixel-accurate ground truth masks.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1D5DB" w:sz="1"/>
              <w:left w:val="single" w:color="D1D5DB" w:sz="1"/>
              <w:bottom w:val="single" w:color="D1D5DB" w:sz="1"/>
              <w:right w:val="single" w:color="D1D5DB" w:sz="1"/>
            </w:tcBorders>
            <w:shd w:fill="C0000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Class ID  —  Class Name</w:t>
            </w:r>
          </w:p>
        </w:tc>
        <w:tc>
          <w:tcPr>
            <w:tcBorders>
              <w:top w:val="single" w:color="D1D5DB" w:sz="1"/>
              <w:left w:val="single" w:color="D1D5DB" w:sz="1"/>
              <w:bottom w:val="single" w:color="D1D5DB" w:sz="1"/>
              <w:right w:val="single" w:color="D1D5DB" w:sz="1"/>
            </w:tcBorders>
            <w:shd w:fill="C00000"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Raw Mask Value</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bCs/>
                <w:sz w:val="20"/>
                <w:szCs w:val="20"/>
              </w:rPr>
              <w:t xml:space="preserve">0 — Background</w:t>
            </w:r>
          </w:p>
        </w:tc>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val="false"/>
                <w:bCs w:val="false"/>
                <w:sz w:val="20"/>
                <w:szCs w:val="20"/>
              </w:rPr>
              <w:t xml:space="preserve">0</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bCs/>
                <w:sz w:val="20"/>
                <w:szCs w:val="20"/>
              </w:rPr>
              <w:t xml:space="preserve">1 — Trees</w:t>
            </w:r>
          </w:p>
        </w:tc>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val="false"/>
                <w:bCs w:val="false"/>
                <w:sz w:val="20"/>
                <w:szCs w:val="20"/>
              </w:rPr>
              <w:t xml:space="preserve">100</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bCs/>
                <w:sz w:val="20"/>
                <w:szCs w:val="20"/>
              </w:rPr>
              <w:t xml:space="preserve">2 — Lush Bushes</w:t>
            </w:r>
          </w:p>
        </w:tc>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val="false"/>
                <w:bCs w:val="false"/>
                <w:sz w:val="20"/>
                <w:szCs w:val="20"/>
              </w:rPr>
              <w:t xml:space="preserve">200</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bCs/>
                <w:sz w:val="20"/>
                <w:szCs w:val="20"/>
              </w:rPr>
              <w:t xml:space="preserve">3 — Dry Grass</w:t>
            </w:r>
          </w:p>
        </w:tc>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val="false"/>
                <w:bCs w:val="false"/>
                <w:sz w:val="20"/>
                <w:szCs w:val="20"/>
              </w:rPr>
              <w:t xml:space="preserve">300</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bCs/>
                <w:sz w:val="20"/>
                <w:szCs w:val="20"/>
              </w:rPr>
              <w:t xml:space="preserve">4 — Dry Bushes</w:t>
            </w:r>
          </w:p>
        </w:tc>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val="false"/>
                <w:bCs w:val="false"/>
                <w:sz w:val="20"/>
                <w:szCs w:val="20"/>
              </w:rPr>
              <w:t xml:space="preserve">500</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bCs/>
                <w:sz w:val="20"/>
                <w:szCs w:val="20"/>
              </w:rPr>
              <w:t xml:space="preserve">5 — Ground Clutter</w:t>
            </w:r>
          </w:p>
        </w:tc>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val="false"/>
                <w:bCs w:val="false"/>
                <w:sz w:val="20"/>
                <w:szCs w:val="20"/>
              </w:rPr>
              <w:t xml:space="preserve">550</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bCs/>
                <w:sz w:val="20"/>
                <w:szCs w:val="20"/>
              </w:rPr>
              <w:t xml:space="preserve">6 — Logs</w:t>
            </w:r>
          </w:p>
        </w:tc>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val="false"/>
                <w:bCs w:val="false"/>
                <w:sz w:val="20"/>
                <w:szCs w:val="20"/>
              </w:rPr>
              <w:t xml:space="preserve">700</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bCs/>
                <w:sz w:val="20"/>
                <w:szCs w:val="20"/>
              </w:rPr>
              <w:t xml:space="preserve">7 — Rocks</w:t>
            </w:r>
          </w:p>
        </w:tc>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val="false"/>
                <w:bCs w:val="false"/>
                <w:sz w:val="20"/>
                <w:szCs w:val="20"/>
              </w:rPr>
              <w:t xml:space="preserve">800</w:t>
            </w:r>
          </w:p>
        </w:tc>
      </w:tr>
      <w:tr>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bCs/>
                <w:sz w:val="20"/>
                <w:szCs w:val="20"/>
              </w:rPr>
              <w:t xml:space="preserve">8 — Landscape</w:t>
            </w:r>
          </w:p>
        </w:tc>
        <w:tc>
          <w:tcPr>
            <w:tcW w:type="dxa" w:w="4680"/>
            <w:tcBorders>
              <w:top w:val="single" w:color="D1D5DB" w:sz="1"/>
              <w:left w:val="single" w:color="D1D5DB" w:sz="1"/>
              <w:bottom w:val="single" w:color="D1D5DB" w:sz="1"/>
              <w:right w:val="single" w:color="D1D5DB" w:sz="1"/>
            </w:tcBorders>
            <w:shd w:fill="FFFFFF" w:val="clear"/>
            <w:tcMar>
              <w:top w:type="dxa" w:w="70"/>
              <w:left w:type="dxa" w:w="150"/>
              <w:bottom w:type="dxa" w:w="70"/>
              <w:right w:type="dxa" w:w="150"/>
            </w:tcMar>
          </w:tcPr>
          <w:p>
            <w:r>
              <w:rPr>
                <w:rFonts w:ascii="Arial" w:cs="Arial" w:eastAsia="Arial" w:hAnsi="Arial"/>
                <w:b w:val="false"/>
                <w:bCs w:val="false"/>
                <w:sz w:val="20"/>
                <w:szCs w:val="20"/>
              </w:rPr>
              <w:t xml:space="preserve">7100</w:t>
            </w:r>
          </w:p>
        </w:tc>
      </w:tr>
      <w:tr>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bCs/>
                <w:sz w:val="20"/>
                <w:szCs w:val="20"/>
              </w:rPr>
              <w:t xml:space="preserve">9 — Sky</w:t>
            </w:r>
          </w:p>
        </w:tc>
        <w:tc>
          <w:tcPr>
            <w:tcW w:type="dxa" w:w="4680"/>
            <w:tcBorders>
              <w:top w:val="single" w:color="D1D5DB" w:sz="1"/>
              <w:left w:val="single" w:color="D1D5DB" w:sz="1"/>
              <w:bottom w:val="single" w:color="D1D5DB" w:sz="1"/>
              <w:right w:val="single" w:color="D1D5DB" w:sz="1"/>
            </w:tcBorders>
            <w:shd w:fill="F3F4F6" w:val="clear"/>
            <w:tcMar>
              <w:top w:type="dxa" w:w="70"/>
              <w:left w:type="dxa" w:w="150"/>
              <w:bottom w:type="dxa" w:w="70"/>
              <w:right w:type="dxa" w:w="150"/>
            </w:tcMar>
          </w:tcPr>
          <w:p>
            <w:r>
              <w:rPr>
                <w:rFonts w:ascii="Arial" w:cs="Arial" w:eastAsia="Arial" w:hAnsi="Arial"/>
                <w:b w:val="false"/>
                <w:bCs w:val="false"/>
                <w:sz w:val="20"/>
                <w:szCs w:val="20"/>
              </w:rPr>
              <w:t xml:space="preserve">10000</w:t>
            </w:r>
          </w:p>
        </w:tc>
      </w:tr>
    </w:tbl>
    <w:p>
      <w:r>
        <w:br w:type="page"/>
      </w:r>
    </w:p>
    <w:p>
      <w:pPr>
        <w:pStyle w:val="Heading1"/>
        <w:pBdr>
          <w:bottom w:val="single" w:color="C00000" w:sz="6" w:space="4"/>
        </w:pBdr>
        <w:spacing w:before="360" w:after="120"/>
      </w:pPr>
      <w:r>
        <w:rPr>
          <w:rFonts w:ascii="Arial" w:cs="Arial" w:eastAsia="Arial" w:hAnsi="Arial"/>
          <w:b/>
          <w:bCs/>
          <w:color w:val="C00000"/>
          <w:sz w:val="32"/>
          <w:szCs w:val="32"/>
        </w:rPr>
        <w:t xml:space="preserve">6. Results &amp; Performance Analysis</w:t>
      </w:r>
    </w:p>
    <w:p>
      <w:pPr>
        <w:pStyle w:val="Heading2"/>
        <w:spacing w:before="240" w:after="120"/>
      </w:pPr>
      <w:r>
        <w:rPr>
          <w:rFonts w:ascii="Arial" w:cs="Arial" w:eastAsia="Arial" w:hAnsi="Arial"/>
          <w:b/>
          <w:bCs/>
          <w:color w:val="1F2937"/>
          <w:sz w:val="26"/>
          <w:szCs w:val="26"/>
        </w:rPr>
        <w:t xml:space="preserve">6.1 Training Progression</w:t>
      </w:r>
    </w:p>
    <w:p>
      <w:pPr>
        <w:spacing w:before="80" w:after="80"/>
        <w:jc w:val="left"/>
      </w:pPr>
      <w:r>
        <w:rPr>
          <w:rFonts w:ascii="Arial" w:cs="Arial" w:eastAsia="Arial" w:hAnsi="Arial"/>
          <w:b w:val="false"/>
          <w:bCs w:val="false"/>
          <w:i w:val="false"/>
          <w:iCs w:val="false"/>
          <w:color w:val="1F2937"/>
          <w:sz w:val="22"/>
          <w:szCs w:val="22"/>
        </w:rPr>
        <w:t xml:space="preserve">The model improved significantly across three key milestones during training: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Stage</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mIoU</w:t>
            </w:r>
          </w:p>
        </w:tc>
        <w:tc>
          <w:tcPr>
            <w:tcBorders>
              <w:top w:val="single" w:color="D1D5DB" w:sz="1"/>
              <w:left w:val="single" w:color="D1D5DB" w:sz="1"/>
              <w:bottom w:val="single" w:color="D1D5DB" w:sz="1"/>
              <w:right w:val="single" w:color="D1D5DB" w:sz="1"/>
            </w:tcBorders>
            <w:shd w:fill="C0000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Key Changes Applied</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bCs/>
                <w:color w:val="1F2937"/>
                <w:sz w:val="22"/>
                <w:szCs w:val="22"/>
              </w:rPr>
              <w:t xml:space="preserve">Baseline (original script)</w:t>
            </w:r>
          </w:p>
        </w:tc>
        <w:tc>
          <w:tcPr>
            <w:tcW w:type="dxa" w:w="2340"/>
            <w:tcBorders>
              <w:top w:val="single" w:color="D1D5DB" w:sz="1"/>
              <w:left w:val="single" w:color="D1D5DB" w:sz="1"/>
              <w:bottom w:val="single" w:color="D1D5DB" w:sz="1"/>
              <w:right w:val="single" w:color="D1D5DB"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26"/>
                <w:szCs w:val="26"/>
              </w:rPr>
              <w:t xml:space="preserve">0.29</w:t>
            </w:r>
          </w:p>
        </w:tc>
        <w:tc>
          <w:tcPr>
            <w:tcW w:type="dxa" w:w="39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i/>
                <w:iCs/>
                <w:color w:val="6B7280"/>
                <w:sz w:val="20"/>
                <w:szCs w:val="20"/>
              </w:rPr>
              <w:t xml:space="preserve">CrossEntropy only, SGD, no augmentation, 10 epochs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bCs/>
                <w:color w:val="1F2937"/>
                <w:sz w:val="22"/>
                <w:szCs w:val="22"/>
              </w:rPr>
              <w:t xml:space="preserve">Mid-training checkpoint</w:t>
            </w:r>
          </w:p>
        </w:tc>
        <w:tc>
          <w:tcPr>
            <w:tcW w:type="dxa" w:w="2340"/>
            <w:tcBorders>
              <w:top w:val="single" w:color="D1D5DB" w:sz="1"/>
              <w:left w:val="single" w:color="D1D5DB" w:sz="1"/>
              <w:bottom w:val="single" w:color="D1D5DB" w:sz="1"/>
              <w:right w:val="single" w:color="D1D5DB"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26"/>
                <w:szCs w:val="26"/>
              </w:rPr>
              <w:t xml:space="preserve">0.53</w:t>
            </w:r>
          </w:p>
        </w:tc>
        <w:tc>
          <w:tcPr>
            <w:tcW w:type="dxa" w:w="39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i/>
                <w:iCs/>
                <w:color w:val="6B7280"/>
                <w:sz w:val="20"/>
                <w:szCs w:val="20"/>
              </w:rPr>
              <w:t xml:space="preserve">AdamW optimizer, augmentation added, 25 epochs</w:t>
            </w:r>
          </w:p>
        </w:tc>
      </w:tr>
      <w:tr>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b/>
                <w:bCs/>
                <w:color w:val="1F2937"/>
                <w:sz w:val="22"/>
                <w:szCs w:val="22"/>
              </w:rPr>
              <w:t xml:space="preserve">Final model</w:t>
            </w:r>
          </w:p>
        </w:tc>
        <w:tc>
          <w:tcPr>
            <w:tcW w:type="dxa" w:w="2340"/>
            <w:tcBorders>
              <w:top w:val="single" w:color="D1D5DB" w:sz="1"/>
              <w:left w:val="single" w:color="D1D5DB" w:sz="1"/>
              <w:bottom w:val="single" w:color="D1D5DB" w:sz="1"/>
              <w:right w:val="single" w:color="D1D5DB" w:sz="1"/>
            </w:tcBorders>
            <w:shd w:fill="FFF0F0" w:val="clear"/>
            <w:tcMar>
              <w:top w:type="dxa" w:w="100"/>
              <w:left w:type="dxa" w:w="150"/>
              <w:bottom w:type="dxa" w:w="100"/>
              <w:right w:type="dxa" w:w="150"/>
            </w:tcMar>
            <w:vAlign w:val="center"/>
          </w:tcPr>
          <w:p>
            <w:pPr>
              <w:jc w:val="center"/>
            </w:pPr>
            <w:r>
              <w:rPr>
                <w:rFonts w:ascii="Arial" w:cs="Arial" w:eastAsia="Arial" w:hAnsi="Arial"/>
                <w:b/>
                <w:bCs/>
                <w:color w:val="C00000"/>
                <w:sz w:val="26"/>
                <w:szCs w:val="26"/>
              </w:rPr>
              <w:t xml:space="preserve">0.725</w:t>
            </w:r>
          </w:p>
        </w:tc>
        <w:tc>
          <w:tcPr>
            <w:tcW w:type="dxa" w:w="3900"/>
            <w:tcBorders>
              <w:top w:val="single" w:color="D1D5DB" w:sz="1"/>
              <w:left w:val="single" w:color="D1D5DB" w:sz="1"/>
              <w:bottom w:val="single" w:color="D1D5DB" w:sz="1"/>
              <w:right w:val="single" w:color="D1D5DB" w:sz="1"/>
            </w:tcBorders>
            <w:tcMar>
              <w:top w:type="dxa" w:w="100"/>
              <w:left w:type="dxa" w:w="150"/>
              <w:bottom w:type="dxa" w:w="100"/>
              <w:right w:type="dxa" w:w="150"/>
            </w:tcMar>
          </w:tcPr>
          <w:p>
            <w:r>
              <w:rPr>
                <w:rFonts w:ascii="Arial" w:cs="Arial" w:eastAsia="Arial" w:hAnsi="Arial"/>
                <w:i/>
                <w:iCs/>
                <w:color w:val="6B7280"/>
                <w:sz w:val="20"/>
                <w:szCs w:val="20"/>
              </w:rPr>
              <w:t xml:space="preserve">DINOv2-Base, Dice+CE loss, CosineAnnealing, 50 epochs</w:t>
            </w:r>
          </w:p>
        </w:tc>
      </w:tr>
    </w:tbl>
    <w:p>
      <w:pPr>
        <w:spacing w:before="200" w:after="200"/>
      </w:pPr>
      <w:r>
        <w:t xml:space="preserve"/>
      </w:r>
    </w:p>
    <w:p>
      <w:pPr>
        <w:pStyle w:val="Heading2"/>
        <w:spacing w:before="240" w:after="120"/>
      </w:pPr>
      <w:r>
        <w:rPr>
          <w:rFonts w:ascii="Arial" w:cs="Arial" w:eastAsia="Arial" w:hAnsi="Arial"/>
          <w:b/>
          <w:bCs/>
          <w:color w:val="1F2937"/>
          <w:sz w:val="26"/>
          <w:szCs w:val="26"/>
        </w:rPr>
        <w:t xml:space="preserve">6.2 Performance Graphs</w:t>
      </w:r>
    </w:p>
    <w:p>
      <w:pPr>
        <w:spacing w:before="80" w:after="80"/>
        <w:jc w:val="left"/>
      </w:pPr>
      <w:r>
        <w:rPr>
          <w:rFonts w:ascii="Arial" w:cs="Arial" w:eastAsia="Arial" w:hAnsi="Arial"/>
          <w:b w:val="false"/>
          <w:bCs w:val="false"/>
          <w:i w:val="false"/>
          <w:iCs w:val="false"/>
          <w:color w:val="1F2937"/>
          <w:sz w:val="22"/>
          <w:szCs w:val="22"/>
        </w:rPr>
        <w:t xml:space="preserve">The following graph shows the class-wise mIoU improvement from baseline to our final model across all 10 terrain classes:</w:t>
      </w:r>
    </w:p>
    <w:p>
      <w:pPr>
        <w:spacing w:before="100" w:after="100"/>
      </w:pPr>
      <w:r>
        <w:t xml:space="preserve"/>
      </w:r>
    </w:p>
    <w:p>
      <w:pPr>
        <w:spacing w:before="120" w:after="80"/>
        <w:jc w:val="center"/>
      </w:pPr>
      <w:r>
        <w:drawing>
          <wp:inline distT="0" distB="0" distL="0" distR="0">
            <wp:extent cx="5524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67075"/>
                    </a:xfrm>
                    <a:prstGeom prst="rect">
                      <a:avLst/>
                    </a:prstGeom>
                  </pic:spPr>
                </pic:pic>
              </a:graphicData>
            </a:graphic>
          </wp:inline>
        </w:drawing>
      </w:r>
    </w:p>
    <w:p>
      <w:pPr>
        <w:spacing w:before="60" w:after="200"/>
        <w:jc w:val="center"/>
      </w:pPr>
      <w:r>
        <w:rPr>
          <w:rFonts w:ascii="Arial" w:cs="Arial" w:eastAsia="Arial" w:hAnsi="Arial"/>
          <w:i/>
          <w:iCs/>
          <w:color w:val="6B7280"/>
          <w:sz w:val="18"/>
          <w:szCs w:val="18"/>
        </w:rPr>
        <w:t xml:space="preserve">Figure 1: Class-wise mIoU improvement — Baseline (0.534 checkpoint) vs Final Model (0.725). Overall accuracy boost: +35.8% at this stage.</w:t>
      </w:r>
    </w:p>
    <w:p>
      <w:pPr>
        <w:spacing w:before="200" w:after="200"/>
      </w:pPr>
      <w:r>
        <w:t xml:space="preserve"/>
      </w:r>
    </w:p>
    <w:p>
      <w:pPr>
        <w:pStyle w:val="Heading2"/>
        <w:spacing w:before="240" w:after="120"/>
      </w:pPr>
      <w:r>
        <w:rPr>
          <w:rFonts w:ascii="Arial" w:cs="Arial" w:eastAsia="Arial" w:hAnsi="Arial"/>
          <w:b/>
          <w:bCs/>
          <w:color w:val="1F2937"/>
          <w:sz w:val="26"/>
          <w:szCs w:val="26"/>
        </w:rPr>
        <w:t xml:space="preserve">6.3 Model Predictions</w:t>
      </w:r>
    </w:p>
    <w:p>
      <w:pPr>
        <w:spacing w:before="80" w:after="80"/>
        <w:jc w:val="left"/>
      </w:pPr>
      <w:r>
        <w:rPr>
          <w:rFonts w:ascii="Arial" w:cs="Arial" w:eastAsia="Arial" w:hAnsi="Arial"/>
          <w:b w:val="false"/>
          <w:bCs w:val="false"/>
          <w:i w:val="false"/>
          <w:iCs w:val="false"/>
          <w:color w:val="1F2937"/>
          <w:sz w:val="22"/>
          <w:szCs w:val="22"/>
        </w:rPr>
        <w:t xml:space="preserve">The following figures show qualitative results comparing the original input image, ground truth segmentation mask, and our model's predicted mask on the validation set:</w:t>
      </w:r>
    </w:p>
    <w:p>
      <w:pPr>
        <w:spacing w:before="100" w:after="100"/>
      </w:pPr>
      <w:r>
        <w:t xml:space="preserve"/>
      </w:r>
    </w:p>
    <w:p>
      <w:pPr>
        <w:spacing w:before="120" w:after="80"/>
        <w:jc w:val="center"/>
      </w:pPr>
      <w:r>
        <w:drawing>
          <wp:inline distT="0" distB="0" distL="0" distR="0">
            <wp:extent cx="5524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028700"/>
                    </a:xfrm>
                    <a:prstGeom prst="rect">
                      <a:avLst/>
                    </a:prstGeom>
                  </pic:spPr>
                </pic:pic>
              </a:graphicData>
            </a:graphic>
          </wp:inline>
        </w:drawing>
      </w:r>
    </w:p>
    <w:p>
      <w:pPr>
        <w:spacing w:before="60" w:after="200"/>
        <w:jc w:val="center"/>
      </w:pPr>
      <w:r>
        <w:rPr>
          <w:rFonts w:ascii="Arial" w:cs="Arial" w:eastAsia="Arial" w:hAnsi="Arial"/>
          <w:i/>
          <w:iCs/>
          <w:color w:val="6B7280"/>
          <w:sz w:val="18"/>
          <w:szCs w:val="18"/>
        </w:rPr>
        <w:t xml:space="preserve">Figure 2: Single prediction example — Input Image (left), Ground Truth (centre), AI Prediction (right).</w:t>
      </w:r>
    </w:p>
    <w:p>
      <w:pPr>
        <w:spacing w:before="100" w:after="100"/>
      </w:pPr>
      <w:r>
        <w:t xml:space="preserve"/>
      </w:r>
    </w:p>
    <w:p>
      <w:pPr>
        <w:spacing w:before="120" w:after="80"/>
        <w:jc w:val="center"/>
      </w:pPr>
      <w:r>
        <w:drawing>
          <wp:inline distT="0" distB="0" distL="0" distR="0">
            <wp:extent cx="40005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895850"/>
                    </a:xfrm>
                    <a:prstGeom prst="rect">
                      <a:avLst/>
                    </a:prstGeom>
                  </pic:spPr>
                </pic:pic>
              </a:graphicData>
            </a:graphic>
          </wp:inline>
        </w:drawing>
      </w:r>
    </w:p>
    <w:p>
      <w:pPr>
        <w:spacing w:before="60" w:after="200"/>
        <w:jc w:val="center"/>
      </w:pPr>
      <w:r>
        <w:rPr>
          <w:rFonts w:ascii="Arial" w:cs="Arial" w:eastAsia="Arial" w:hAnsi="Arial"/>
          <w:i/>
          <w:iCs/>
          <w:color w:val="6B7280"/>
          <w:sz w:val="18"/>
          <w:szCs w:val="18"/>
        </w:rPr>
        <w:t xml:space="preserve">Figure 3: Multiple validation samples — Original vs Ground Truth vs AI Prediction across 4 offroad scenes.</w:t>
      </w:r>
    </w:p>
    <w:p>
      <w:r>
        <w:br w:type="page"/>
      </w:r>
    </w:p>
    <w:p>
      <w:pPr>
        <w:pStyle w:val="Heading1"/>
        <w:pBdr>
          <w:bottom w:val="single" w:color="C00000" w:sz="6" w:space="4"/>
        </w:pBdr>
        <w:spacing w:before="360" w:after="120"/>
      </w:pPr>
      <w:r>
        <w:rPr>
          <w:rFonts w:ascii="Arial" w:cs="Arial" w:eastAsia="Arial" w:hAnsi="Arial"/>
          <w:b/>
          <w:bCs/>
          <w:color w:val="C00000"/>
          <w:sz w:val="32"/>
          <w:szCs w:val="32"/>
        </w:rPr>
        <w:t xml:space="preserve">7. Key Innovations</w:t>
      </w:r>
    </w:p>
    <w:p>
      <w:pPr>
        <w:pStyle w:val="Heading2"/>
        <w:spacing w:before="240" w:after="120"/>
      </w:pPr>
      <w:r>
        <w:rPr>
          <w:rFonts w:ascii="Arial" w:cs="Arial" w:eastAsia="Arial" w:hAnsi="Arial"/>
          <w:b/>
          <w:bCs/>
          <w:color w:val="1F2937"/>
          <w:sz w:val="26"/>
          <w:szCs w:val="26"/>
        </w:rPr>
        <w:t xml:space="preserve">7.1 Critical Bug Discovery — Missing Class Fix</w:t>
      </w:r>
    </w:p>
    <w:p>
      <w:pPr>
        <w:spacing w:before="80" w:after="80"/>
      </w:pPr>
      <w:r>
        <w:rPr>
          <w:rFonts w:ascii="Arial" w:cs="Arial" w:eastAsia="Arial" w:hAnsi="Arial"/>
          <w:b/>
          <w:bCs/>
          <w:color w:val="C00000"/>
          <w:sz w:val="22"/>
          <w:szCs w:val="22"/>
        </w:rPr>
        <w:t xml:space="preserve">Most impactful finding: </w:t>
      </w:r>
      <w:r>
        <w:rPr>
          <w:rFonts w:ascii="Arial" w:cs="Arial" w:eastAsia="Arial" w:hAnsi="Arial"/>
          <w:color w:val="1F2937"/>
          <w:sz w:val="22"/>
          <w:szCs w:val="22"/>
        </w:rPr>
        <w:t xml:space="preserve">During analysis, we identified that certain raw mask pixel values were not mapped to valid class IDs in the value_map dictionary. This caused pixels to be silently assigned to class 0 (Background), corrupting the training signal for several terrain classes. Fixing this mapping produced one of the single largest jumps in mIoU.</w:t>
      </w:r>
    </w:p>
    <w:p>
      <w:pPr>
        <w:spacing w:before="100" w:after="100"/>
      </w:pPr>
      <w:r>
        <w:t xml:space="preserve"/>
      </w:r>
    </w:p>
    <w:p>
      <w:pPr>
        <w:pStyle w:val="ListParagraph"/>
        <w:numPr>
          <w:ilvl w:val="0"/>
          <w:numId w:val="2"/>
        </w:numPr>
        <w:spacing w:before="60" w:after="60"/>
      </w:pPr>
      <w:r>
        <w:rPr>
          <w:rFonts w:ascii="Arial" w:cs="Arial" w:eastAsia="Arial" w:hAnsi="Arial"/>
          <w:color w:val="1F2937"/>
          <w:sz w:val="22"/>
          <w:szCs w:val="22"/>
        </w:rPr>
        <w:t xml:space="preserve">Failure-Driven Training — Hard examples were identified and given additional weight during training to improve performance on difficult terrain boundaries.</w:t>
      </w:r>
    </w:p>
    <w:p>
      <w:pPr>
        <w:pStyle w:val="ListParagraph"/>
        <w:numPr>
          <w:ilvl w:val="0"/>
          <w:numId w:val="2"/>
        </w:numPr>
        <w:spacing w:before="60" w:after="60"/>
      </w:pPr>
      <w:r>
        <w:rPr>
          <w:rFonts w:ascii="Arial" w:cs="Arial" w:eastAsia="Arial" w:hAnsi="Arial"/>
          <w:color w:val="1F2937"/>
          <w:sz w:val="22"/>
          <w:szCs w:val="22"/>
        </w:rPr>
        <w:t xml:space="preserve">Edge-Case Learning — Rare terrain classes (Logs, Ground Clutter) were prioritised through the Dice Loss component, which directly optimises the overlap metric.</w:t>
      </w:r>
    </w:p>
    <w:p>
      <w:pPr>
        <w:pStyle w:val="ListParagraph"/>
        <w:numPr>
          <w:ilvl w:val="0"/>
          <w:numId w:val="2"/>
        </w:numPr>
        <w:spacing w:before="60" w:after="60"/>
      </w:pPr>
      <w:r>
        <w:rPr>
          <w:rFonts w:ascii="Arial" w:cs="Arial" w:eastAsia="Arial" w:hAnsi="Arial"/>
          <w:color w:val="1F2937"/>
          <w:sz w:val="22"/>
          <w:szCs w:val="22"/>
        </w:rPr>
        <w:t xml:space="preserve">Targeted Augmentation — All 7 augmentation techniques were chosen specifically for offroad visual characteristics: lighting variation, terrain texture, and geometric distortions common in synthetic renders.</w:t>
      </w:r>
    </w:p>
    <w:p>
      <w:pPr>
        <w:pStyle w:val="ListParagraph"/>
        <w:numPr>
          <w:ilvl w:val="0"/>
          <w:numId w:val="2"/>
        </w:numPr>
        <w:spacing w:before="60" w:after="60"/>
      </w:pPr>
      <w:r>
        <w:rPr>
          <w:rFonts w:ascii="Arial" w:cs="Arial" w:eastAsia="Arial" w:hAnsi="Arial"/>
          <w:color w:val="1F2937"/>
          <w:sz w:val="22"/>
          <w:szCs w:val="22"/>
        </w:rPr>
        <w:t xml:space="preserve">Backbone Upgrade — Switching from DINOv2-Small (the baseline) to DINOv2-Base provided richer 768-dimensional embeddings at minimal additional compute cost.</w:t>
      </w:r>
    </w:p>
    <w:p>
      <w:pPr>
        <w:pStyle w:val="Heading1"/>
        <w:pBdr>
          <w:bottom w:val="single" w:color="C00000" w:sz="6" w:space="4"/>
        </w:pBdr>
        <w:spacing w:before="360" w:after="120"/>
      </w:pPr>
      <w:r>
        <w:rPr>
          <w:rFonts w:ascii="Arial" w:cs="Arial" w:eastAsia="Arial" w:hAnsi="Arial"/>
          <w:b/>
          <w:bCs/>
          <w:color w:val="C00000"/>
          <w:sz w:val="32"/>
          <w:szCs w:val="32"/>
        </w:rPr>
        <w:t xml:space="preserve">8. Conclusion &amp; Future Work</w:t>
      </w:r>
    </w:p>
    <w:p>
      <w:pPr>
        <w:pStyle w:val="Heading2"/>
        <w:spacing w:before="240" w:after="120"/>
      </w:pPr>
      <w:r>
        <w:rPr>
          <w:rFonts w:ascii="Arial" w:cs="Arial" w:eastAsia="Arial" w:hAnsi="Arial"/>
          <w:b/>
          <w:bCs/>
          <w:color w:val="1F2937"/>
          <w:sz w:val="26"/>
          <w:szCs w:val="26"/>
        </w:rPr>
        <w:t xml:space="preserve">8.1 Conclusion</w:t>
      </w:r>
    </w:p>
    <w:p>
      <w:pPr>
        <w:spacing w:before="80" w:after="80"/>
        <w:jc w:val="left"/>
      </w:pPr>
      <w:r>
        <w:rPr>
          <w:rFonts w:ascii="Arial" w:cs="Arial" w:eastAsia="Arial" w:hAnsi="Arial"/>
          <w:b w:val="false"/>
          <w:bCs w:val="false"/>
          <w:i w:val="false"/>
          <w:iCs w:val="false"/>
          <w:color w:val="1F2937"/>
          <w:sz w:val="22"/>
          <w:szCs w:val="22"/>
        </w:rPr>
        <w:t xml:space="preserve">This project demonstrates that strong semantic segmentation performance is achievable with limited real-world data by leveraging pretrained vision transformers and high-quality synthetic datasets. Starting from a baseline mIoU of 0.29, our iterative improvements in model architecture, loss function, optimisation strategy, and data augmentation culminated in a final mIoU of 0.725 — representing a 150% total improvement over the original baseline.</w:t>
      </w:r>
    </w:p>
    <w:p>
      <w:pPr>
        <w:spacing w:before="100" w:after="100"/>
      </w:pPr>
      <w:r>
        <w:t xml:space="preserve"/>
      </w:r>
    </w:p>
    <w:p>
      <w:pPr>
        <w:spacing w:before="80" w:after="80"/>
        <w:jc w:val="left"/>
      </w:pPr>
      <w:r>
        <w:rPr>
          <w:rFonts w:ascii="Arial" w:cs="Arial" w:eastAsia="Arial" w:hAnsi="Arial"/>
          <w:b w:val="false"/>
          <w:bCs w:val="false"/>
          <w:i w:val="false"/>
          <w:iCs w:val="false"/>
          <w:color w:val="1F2937"/>
          <w:sz w:val="22"/>
          <w:szCs w:val="22"/>
        </w:rPr>
        <w:t xml:space="preserve">The DINOv2 + custom segmentation head architecture proves highly effective for offroad terrain classification, and the combined Dice + CrossEntropy loss provides a robust training signal even under class imbalance conditions.</w:t>
      </w:r>
    </w:p>
    <w:p>
      <w:pPr>
        <w:pStyle w:val="Heading2"/>
        <w:spacing w:before="240" w:after="120"/>
      </w:pPr>
      <w:r>
        <w:rPr>
          <w:rFonts w:ascii="Arial" w:cs="Arial" w:eastAsia="Arial" w:hAnsi="Arial"/>
          <w:b/>
          <w:bCs/>
          <w:color w:val="1F2937"/>
          <w:sz w:val="26"/>
          <w:szCs w:val="26"/>
        </w:rPr>
        <w:t xml:space="preserve">8.2 Future Work</w:t>
      </w:r>
    </w:p>
    <w:p>
      <w:pPr>
        <w:pStyle w:val="ListParagraph"/>
        <w:numPr>
          <w:ilvl w:val="0"/>
          <w:numId w:val="2"/>
        </w:numPr>
        <w:spacing w:before="60" w:after="60"/>
      </w:pPr>
      <w:r>
        <w:rPr>
          <w:rFonts w:ascii="Arial" w:cs="Arial" w:eastAsia="Arial" w:hAnsi="Arial"/>
          <w:color w:val="1F2937"/>
          <w:sz w:val="22"/>
          <w:szCs w:val="22"/>
        </w:rPr>
        <w:t xml:space="preserve">Improve detection of small rare classes — Logs and Ground Clutter remain the weakest performers. Focal loss or class-weighted sampling could further improve these.</w:t>
      </w:r>
    </w:p>
    <w:p>
      <w:pPr>
        <w:pStyle w:val="ListParagraph"/>
        <w:numPr>
          <w:ilvl w:val="0"/>
          <w:numId w:val="2"/>
        </w:numPr>
        <w:spacing w:before="60" w:after="60"/>
      </w:pPr>
      <w:r>
        <w:rPr>
          <w:rFonts w:ascii="Arial" w:cs="Arial" w:eastAsia="Arial" w:hAnsi="Arial"/>
          <w:color w:val="1F2937"/>
          <w:sz w:val="22"/>
          <w:szCs w:val="22"/>
        </w:rPr>
        <w:t xml:space="preserve">Domain adaptation — Bridging the synthetic-to-real domain gap through adversarial training or style transfer would enable deployment on real offroad imagery.</w:t>
      </w:r>
    </w:p>
    <w:p>
      <w:pPr>
        <w:pStyle w:val="ListParagraph"/>
        <w:numPr>
          <w:ilvl w:val="0"/>
          <w:numId w:val="2"/>
        </w:numPr>
        <w:spacing w:before="60" w:after="60"/>
      </w:pPr>
      <w:r>
        <w:rPr>
          <w:rFonts w:ascii="Arial" w:cs="Arial" w:eastAsia="Arial" w:hAnsi="Arial"/>
          <w:color w:val="1F2937"/>
          <w:sz w:val="22"/>
          <w:szCs w:val="22"/>
        </w:rPr>
        <w:t xml:space="preserve">Real-time optimisation — Knowledge distillation into a lightweight architecture for deployment on edge devices and autonomous vehicles.</w:t>
      </w:r>
    </w:p>
    <w:p>
      <w:pPr>
        <w:pStyle w:val="ListParagraph"/>
        <w:numPr>
          <w:ilvl w:val="0"/>
          <w:numId w:val="2"/>
        </w:numPr>
        <w:spacing w:before="60" w:after="60"/>
      </w:pPr>
      <w:r>
        <w:rPr>
          <w:rFonts w:ascii="Arial" w:cs="Arial" w:eastAsia="Arial" w:hAnsi="Arial"/>
          <w:color w:val="1F2937"/>
          <w:sz w:val="22"/>
          <w:szCs w:val="22"/>
        </w:rPr>
        <w:t xml:space="preserve">Larger backbone — Testing DINOv2-Large (vitl14_reg) may provide further gains at the cost of higher compute requirements.</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2"/>
              <w:left w:val="none" w:color="FFFFFF" w:sz="0"/>
              <w:bottom w:val="single" w:color="C00000" w:sz="12"/>
              <w:right w:val="none" w:color="FFFFFF" w:sz="0"/>
            </w:tcBorders>
            <w:shd w:fill="FFF8F8" w:val="clear"/>
            <w:tcMar>
              <w:top w:type="dxa" w:w="200"/>
              <w:left w:type="dxa" w:w="240"/>
              <w:bottom w:type="dxa" w:w="200"/>
              <w:right w:type="dxa" w:w="240"/>
            </w:tcMar>
          </w:tcPr>
          <w:p>
            <w:pPr>
              <w:jc w:val="center"/>
            </w:pPr>
            <w:r>
              <w:rPr>
                <w:rFonts w:ascii="Arial" w:cs="Arial" w:eastAsia="Arial" w:hAnsi="Arial"/>
                <w:b/>
                <w:bCs/>
                <w:i/>
                <w:iCs/>
                <w:color w:val="C00000"/>
                <w:sz w:val="26"/>
                <w:szCs w:val="26"/>
              </w:rPr>
              <w:t xml:space="preserve">Better data and smarter learning lead to better real-world AI.</w:t>
            </w:r>
          </w:p>
        </w:tc>
      </w:tr>
    </w:tbl>
    <w:p>
      <w:pPr>
        <w:spacing w:before="200" w:after="200"/>
      </w:pPr>
      <w:r>
        <w:t xml:space="preserve"/>
      </w:r>
    </w:p>
    <w:p>
      <w:pPr>
        <w:spacing w:before="80" w:after="80"/>
        <w:jc w:val="center"/>
      </w:pPr>
      <w:r>
        <w:rPr>
          <w:rFonts w:ascii="Arial" w:cs="Arial" w:eastAsia="Arial" w:hAnsi="Arial"/>
          <w:b w:val="false"/>
          <w:bCs w:val="false"/>
          <w:i/>
          <w:iCs/>
          <w:color w:val="6B7280"/>
          <w:sz w:val="18"/>
          <w:szCs w:val="18"/>
        </w:rPr>
        <w:t xml:space="preserve">Creative Codex  |  Xen-O-Thon 2026  |  Duality AI Track  |  Semantic Segmentation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tabs>
        <w:tab w:val="right" w:pos="9026"/>
      </w:tabs>
      <w:spacing w:before="100" w:after="0"/>
    </w:pPr>
    <w:r>
      <w:rPr>
        <w:rFonts w:ascii="Arial" w:cs="Arial" w:eastAsia="Arial" w:hAnsi="Arial"/>
        <w:color w:val="6B7280"/>
        <w:sz w:val="16"/>
        <w:szCs w:val="16"/>
      </w:rPr>
      <w:t xml:space="preserve">Duality AI Track  |  Semantic Segmentation</w:t>
    </w:r>
    <w:r>
      <w:rPr>
        <w:rFonts w:ascii="Arial" w:cs="Arial" w:eastAsia="Arial" w:hAnsi="Arial"/>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2"/>
      </w:pBdr>
      <w:tabs>
        <w:tab w:val="right" w:pos="9026"/>
      </w:tabs>
      <w:spacing w:before="0" w:after="100"/>
    </w:pPr>
    <w:r>
      <w:rPr>
        <w:rFonts w:ascii="Arial" w:cs="Arial" w:eastAsia="Arial" w:hAnsi="Arial"/>
        <w:b/>
        <w:bCs/>
        <w:color w:val="1F2937"/>
        <w:sz w:val="18"/>
        <w:szCs w:val="18"/>
      </w:rPr>
      <w:t xml:space="preserve">Offroad Autonomy Segmentation Model</w:t>
    </w:r>
    <w:r>
      <w:rPr>
        <w:rFonts w:ascii="Arial" w:cs="Arial" w:eastAsia="Arial" w:hAnsi="Arial"/>
      </w:rPr>
      <w:t xml:space="preserve">	</w:t>
    </w:r>
    <w:r>
      <w:rPr>
        <w:rFonts w:ascii="Arial" w:cs="Arial" w:eastAsia="Arial" w:hAnsi="Arial"/>
        <w:color w:val="6B7280"/>
        <w:sz w:val="18"/>
        <w:szCs w:val="18"/>
      </w:rPr>
      <w:t xml:space="preserve">Creative Codex  |  Xen-O-Thon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C00000"/>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586e6983fb52a6b5dd8ced3a8afa226b471db7e.jpg"/><Relationship Id="rId9" Type="http://schemas.openxmlformats.org/officeDocument/2006/relationships/image" Target="media/7915087b333d93aeb30c50aff9c7248e2d983fbe.jpg"/><Relationship Id="rId10" Type="http://schemas.openxmlformats.org/officeDocument/2006/relationships/image" Target="media/e5e6ecc82dc0bdab08077c1bddd3aefe194db407.jpg"/><Relationship Id="rId11" Type="http://schemas.openxmlformats.org/officeDocument/2006/relationships/image" Target="media/d037f6dd492d40b14ee6d1aceaf05e9320d4a466.jp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2026-03-20T04:22:16.312Z</dcterms:created>
  <dcterms:modified xsi:type="dcterms:W3CDTF">2026-03-20T04:22:16.313Z</dcterms:modified>
</cp:coreProperties>
</file>

<file path=docProps/custom.xml><?xml version="1.0" encoding="utf-8"?>
<Properties xmlns="http://schemas.openxmlformats.org/officeDocument/2006/custom-properties" xmlns:vt="http://schemas.openxmlformats.org/officeDocument/2006/docPropsVTypes"/>
</file>