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b/>
          <w:bCs/>
        </w:rPr>
        <w:t xml:space="preserve">Continuity Audit</w:t>
      </w:r>
    </w:p>
    <w:p>
      <w:pPr>
        <w:spacing w:after="80" w:before="80"/>
      </w:pPr>
      <w:r>
        <w:rPr>
          <w:b/>
          <w:bCs/>
        </w:rPr>
        <w:t xml:space="preserve">Paragraph 1 — Conventions reused from Sections 1-11.</w:t>
      </w:r>
      <w:r>
        <w:t xml:space="preserve"> The following eight conventions established in sections 1-11 are carried forward throughout sections 20-21 and 24-25. (1) Citation format: sheet/cell citations use the format Sheet!CellRef with no surrounding quotes except where required by the Excel formula context. (2) Branch-condition tables: every multi-way IF cascade is rendered as a table with one row per leaf -- activating predicate in column 1, resulting expression in column 2 -- rather than nested prose. (3) Code-block style: literal Excel formula text is reproduced in fixed-pitch Courier New blocks, preceded by the cell address and followed by a plain-language re-expression. (4) DUMMY markers: any combination not present in test policy 842612365 is flagged [DUMMY -- no source data] with a descriptive tag such as [DUMMY_LB_F] rather than silently omitted. (5) Defined-name references: wherever a named range (e.g., Reserve_Basis, Projection_Months, PartialWithdrawals_Indicator) is the operative quantity, the defined name is cited in addition to the raw Configuration!CellRef. (6) Cross-reference notation: earlier sections are cited as section N.M with an explicit calc-engine cell, e.g., as defined in section 8.4 (Calc_Lives!N10), never as a bare see section 8. (7) Depth of formula transcription: every formula found in the source workbook that is relevant to the section under documentation is reproduced verbatim. (8) Fund-universe nomenclature: the eight investment accounts are always identified by their canonical names from Fund_Info!D4:K4 -- S&amp;P 500, Russell 2000, Risk-Managed Fund, MSCI EAFE, Money Market, Barclays Capital Aggregate, Fixed Account, DCA Account -- never by generic Equity/Bond/MM/Balanced labels.</w:t>
      </w:r>
    </w:p>
    <w:p>
      <w:pPr>
        <w:spacing w:after="0" w:before="120"/>
      </w:pPr>
    </w:p>
    <w:p>
      <w:pPr>
        <w:spacing w:after="80" w:before="80"/>
      </w:pPr>
      <w:r>
        <w:rPr>
          <w:b/>
          <w:bCs/>
        </w:rPr>
        <w:t xml:space="preserve">Paragraph 2 -- Errors, gaps, and inconsistencies observed in Sections 1-11.</w:t>
      </w:r>
      <w:r>
        <w:t xml:space="preserve"> The following issues have been identified. (a) Section 1.1 states the fund universe consists of six separate-account sub-accounts and gives Fund_Info column range D4:I4; the source workbook contains eight investment accounts (Inv Acct #1-#8, with #7 = Fixed Account and #8 = DCA Account) across Fund_Info!D4:K4. Section 11.1 repeats this error. Both are corrected throughout this Part 2 document. (b) Section 7.3 describes the Non-PM Base Lapse Rate parse referencing AE5/AE6; the lapse engine also contains AM5/AM6 columns for the same purpose; the modeler should verify the live column. (c) The Continuity Audit is a preamble convention; it is placed before section 20 as instructed. No other structural errors were found -- all formula transcriptions in Sections 1-11 are consistent with the source workbook to the extent verifiable from the read-only extract.</w:t>
      </w:r>
    </w:p>
    <w:p>
      <w:r>
        <w:br w:type="page"/>
      </w:r>
    </w:p>
    <w:p>
      <w:pPr>
        <w:pStyle w:val="Heading1"/>
        <w:spacing w:after="180" w:before="360"/>
      </w:pPr>
      <w:r>
        <w:rPr>
          <w:b/>
          <w:bCs/>
        </w:rPr>
        <w:t xml:space="preserve">20. Scenario Inputs</w:t>
      </w:r>
    </w:p>
    <w:p>
      <w:pPr>
        <w:pStyle w:val="Heading2"/>
        <w:spacing w:after="120" w:before="240"/>
      </w:pPr>
      <w:r>
        <w:rPr>
          <w:b/>
          <w:bCs/>
        </w:rPr>
        <w:t xml:space="preserve">20.1 Purpose and Architecture</w:t>
      </w:r>
    </w:p>
    <w:p>
      <w:pPr>
        <w:spacing w:after="80" w:before="80"/>
      </w:pPr>
      <w:r>
        <w:t xml:space="preserve">Six tabs supply the time-series economic and actuarial scenario data consumed by the calculation engines. Two carry Standard Scenario projections for the NYREG213 / VM-21 Standard Projection framework (Paste_StdScn1 and Paste_StdScn2). Two carry CARVM discount-factor and benefit streams (Paste_CARVM_PW and Paste_CARVM_NoPW). Two carry the raw stochastic economic scenario feeding VM21CA and GAAPDAC (Input_Future Scenario and Input_Historic Scenario). The Paste tabs are pre-computed output blocks pasted from a companion AXIS run; the Input tabs are populated directly from the AXIS ESG scenario file. Configuration!C5 (StdScn_Number) selects between Paste_StdScn1 and Paste_StdScn2; Configuration!C7 (PartialWithdrawals_Indicator) selects between Paste_CARVM_PW and Paste_CARVM_NoPW.</w:t>
      </w:r>
    </w:p>
    <w:p>
      <w:pPr>
        <w:spacing w:after="80" w:before="80"/>
      </w:pPr>
      <w:r>
        <w:rPr>
          <w:b/>
          <w:bCs/>
        </w:rPr>
        <w:t xml:space="preserve">Horizon reconciliation.</w:t>
      </w:r>
      <w:r>
        <w:t xml:space="preserve"> Configuration!C8 (Projection_Months) = 480 for the test policy; Configuration!C19 (AXIS Scenario Length) = 600. The Input scenario tabs carry 600 months of data (columns M1..M600). The Paste tabs contain 1,010 rows (header block rows 1-9 plus 1,001 data rows). Cells beyond Projection_Months = 480 are rendered harmless by the survivorship factor Calc_Lives!P, which collapses to zero at the projection terminus as documented in section 8.5.</w:t>
      </w:r>
    </w:p>
    <w:p>
      <w:pPr>
        <w:pStyle w:val="Heading2"/>
        <w:spacing w:after="120" w:before="240"/>
      </w:pPr>
      <w:r>
        <w:rPr>
          <w:b/>
          <w:bCs/>
        </w:rPr>
        <w:t xml:space="preserve">20.2 Paste_StdScn1 and Paste_StdScn2</w:t>
      </w:r>
    </w:p>
    <w:p>
      <w:pPr>
        <w:pStyle w:val="Heading3"/>
        <w:spacing w:after="80" w:before="180"/>
      </w:pPr>
      <w:r>
        <w:rPr>
          <w:b/>
          <w:bCs/>
        </w:rPr>
        <w:t xml:space="preserve">20.2.1 Physical layout</w:t>
      </w:r>
    </w:p>
    <w:p>
      <w:pPr>
        <w:spacing w:after="80" w:before="80"/>
      </w:pPr>
      <w:r>
        <w:t xml:space="preserve">Both tabs share an identical physical layout: 1,010 rows x 43 columns. Rows 1-8 form the header block; row 9 is the column-header row; rows 10-1,010 carry the monthly projection data. The full column inventory, from the row 9 labels extracted directly from the source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160"/>
        <w:gridCol w:w="6840"/>
      </w:tblGrid>
      <w:tr>
        <w:trPr>
          <w:tblHeader/>
        </w:trPr>
        <w:tc>
          <w:tcPr>
            <w:tcW w:type="dxa" w:w="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Col #</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Header (Row 9)</w:t>
            </w:r>
          </w:p>
        </w:tc>
        <w:tc>
          <w:tcPr>
            <w:tcW w:type="dxa" w:w="6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Role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Projection Period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Row index 1-based, mirroring the time-spine column A (section 5)</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Policy Yr</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Policy year per section 5 column B</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Policy Month</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Policy month counter per section 5 column C</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4</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Month in Policy Yr</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MOD(C-1,12)+1 per section 5 column 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BOP 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Begin-of-period date per section 5 column E</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6</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EOP Date</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End-of-period date per section 5 column F</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Calendar Month End During Policy Month</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Month-end date per section 5 column G</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Attained Age</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Attained age per section 5 column H</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Implied Forward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Nominal implied forward rate for the projection month</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Implied Fwd Monthly</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Monthly equivalent: (1+ImpliedFwd)^(1/12)-1</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Disc Factor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Cumulative discount factor from t=0 to EOP</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(blank)</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Reserved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Accum Factor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Reciprocal of Disc Factor; accumulation factor to projection month</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14</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Std Scn Total Fund Value</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Projected total fund (Sep Acct + Fixed Acct) under Standard Scenario assumptions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Fixed Account Fund Value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Projected fixed account component of total fund</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16</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BOP M&amp;E Charge</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Mortality and Expense charge at BOP</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BOP GMDB Charge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GMDB charge assessed at BOP</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MOP IMF</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Investment Management Fee applied at mid-period (MOP = mid-of-period)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EOP GMDB Charge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GMDB charge at EOP</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EOP GLWB Charges</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GLWB (GMWB) rider charge at EOP</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EOP 4Later Charges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4Later rider charge at EOP</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EOP GIB Charges</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GIB rider charge at EOP</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EOP i4L Charges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i4L rider charge at EOP</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24</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Accum Total Fund Value</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Accumulated total fund to this projection month</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Accum Fixed Fund Value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Accumulated fixed account to this projection month</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26</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Accum M&amp;E Charges</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Accumulated M&amp;E charges to this month</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Accum IMF Charges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Accumulated IMF charges</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Accum GMDB Charges</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Accumulated GMDB charges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Accum LB Charges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Accumulated living-benefit (LB) charges</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30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Avg Total Fund Value YTD</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Year-to-date average total fund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31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Avg Fixed Fund Value YTD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Year-to-date average fixed fund</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32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Margin during SCAP</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Net Revenue margin during the Standard Scenario Accumulation Period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33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Margin after SCAP</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Net Revenue margin after the SCAP</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34</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Total Margins</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Sum of Margin during and after SCAP (col 32 + col 33)</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35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(blank)</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Reserved</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36</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Guar Death Benefits</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Guaranteed death benefit cash flows for the period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37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Guar Living Benefits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Guaranteed living benefit cash flows for the period</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38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(blank)</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Reserved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39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Net Revenue Cash Flow</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Period net revenue: charges minus guaranteed benefits</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40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Accumulated Interest on ANR</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Running accumulated interest on the ANR balance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41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ANR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Accumulated Net Revenue (Standard Scenario cumulative deficit/surplus)</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42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(blank)</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Reserved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43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PV Negative ANR at Year End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Present value of negative ANR at policy-year end; the primary input to the Standard Scenario reserve</w:t>
            </w:r>
          </w:p>
        </w:tc>
      </w:tr>
    </w:tbl>
    <w:p>
      <w:pPr>
        <w:pStyle w:val="Heading3"/>
        <w:spacing w:after="80" w:before="180"/>
      </w:pPr>
      <w:r>
        <w:rPr>
          <w:b/>
          <w:bCs/>
        </w:rPr>
        <w:t xml:space="preserve">20.2.2 Source, StdScn_Number selection, and refresh cadence</w:t>
      </w:r>
    </w:p>
    <w:p>
      <w:pPr>
        <w:spacing w:after="80" w:before="80"/>
      </w:pPr>
      <w:r>
        <w:rPr>
          <w:b/>
          <w:bCs/>
        </w:rPr>
        <w:t xml:space="preserve">StdScn_Number selection.</w:t>
      </w:r>
      <w:r>
        <w:t xml:space="preserve"> The distinction between Paste_StdScn1 and Paste_StdScn2 is the prescribed scenario identity. Per NY DFS Regulation 213 guidance, two prescribed scenarios exist. Configuration!C5 (StdScn_Number) selects which is active. The routing is operative only when Reserve_Basis = NYREG213 AND Reserve_Method = Std Scn (per section 2.3.4). When StdScn_Number = 1, Calc_StdScn_ANR draws from Paste_StdScn1; when = 2, from Paste_StdScn2.</w:t>
      </w:r>
    </w:p>
    <w:p>
      <w:pPr>
        <w:spacing w:after="80" w:before="80"/>
      </w:pPr>
      <w:r>
        <w:rPr>
          <w:b/>
          <w:bCs/>
        </w:rPr>
        <w:t xml:space="preserve">Refresh cadence.</w:t>
      </w:r>
      <w:r>
        <w:t xml:space="preserve"> Both tabs contain pasted values -- not live formulas -- copied from a companion AXIS run. The tabs must be refreshed whenever: (a) the prescribed Standard Scenario interest rate path changes via regulatory update; (b) the policy data changes (new valuation date or new test policy); or (c) the AXIS model assumptions are revised. Stale paste data with a live StdScn_Number produces silent errors. The validation team should record the paste date in Configuration!F3 (Current Fut Scn Name, a free-text diagnostic cell) and confirm it matches the AXIS run date before trusting output.</w:t>
      </w:r>
    </w:p>
    <w:p>
      <w:pPr>
        <w:pStyle w:val="Heading3"/>
        <w:spacing w:after="80" w:before="180"/>
      </w:pPr>
      <w:r>
        <w:rPr>
          <w:b/>
          <w:bCs/>
        </w:rPr>
        <w:t xml:space="preserve">20.2.3 Consumption by Calc_StdScn_ANR</w:t>
      </w:r>
    </w:p>
    <w:p>
      <w:pPr>
        <w:spacing w:after="80" w:before="80"/>
      </w:pPr>
      <w:r>
        <w:t xml:space="preserve">Calc_StdScn_ANR (43 columns) is the primary consumer. The engine indexes into the active paste tab row-by-row using the Projection Period index. Key columns consumed:</w:t>
      </w:r>
    </w:p>
    <w:p>
      <w:pPr>
        <w:pStyle w:val="ListParagraph"/>
        <w:numPr>
          <w:ilvl w:val="0"/>
          <w:numId w:val="2"/>
        </w:numPr>
        <w:spacing w:after="40" w:before="40"/>
      </w:pPr>
      <w:r>
        <w:t xml:space="preserve">Column 39 (Net Revenue Cash Flow): period net revenue feeding the ANR accumulation.</w:t>
      </w:r>
    </w:p>
    <w:p>
      <w:pPr>
        <w:pStyle w:val="ListParagraph"/>
        <w:numPr>
          <w:ilvl w:val="0"/>
          <w:numId w:val="2"/>
        </w:numPr>
        <w:spacing w:after="40" w:before="40"/>
      </w:pPr>
      <w:r>
        <w:t xml:space="preserve">Column 40 (Accumulated Interest on ANR): validates the running interest-on-ANR balance.</w:t>
      </w:r>
    </w:p>
    <w:p>
      <w:pPr>
        <w:pStyle w:val="ListParagraph"/>
        <w:numPr>
          <w:ilvl w:val="0"/>
          <w:numId w:val="2"/>
        </w:numPr>
        <w:spacing w:after="40" w:before="40"/>
      </w:pPr>
      <w:r>
        <w:t xml:space="preserve">Column 41 (ANR): the reference Accumulated Net Revenue used by the Standard Scenario reserve calculation.</w:t>
      </w:r>
    </w:p>
    <w:p>
      <w:pPr>
        <w:pStyle w:val="ListParagraph"/>
        <w:numPr>
          <w:ilvl w:val="0"/>
          <w:numId w:val="2"/>
        </w:numPr>
        <w:spacing w:after="40" w:before="40"/>
      </w:pPr>
      <w:r>
        <w:t xml:space="preserve">Column 43 (PV Negative ANR at Year End): the per-policy-year floor input to the NYREG213 Standard Scenario reserve.</w:t>
      </w:r>
    </w:p>
    <w:p>
      <w:pPr>
        <w:pStyle w:val="ListParagraph"/>
        <w:numPr>
          <w:ilvl w:val="0"/>
          <w:numId w:val="2"/>
        </w:numPr>
        <w:spacing w:after="40" w:before="40"/>
      </w:pPr>
      <w:r>
        <w:t xml:space="preserve">Columns 9-11 (Implied Forward, Implied Fwd Monthly, Disc Factor): discount rates applied in Calc_StdScn_ANR for present-valuing benefit streams.</w:t>
      </w:r>
    </w:p>
    <w:p>
      <w:pPr>
        <w:pStyle w:val="ListParagraph"/>
        <w:numPr>
          <w:ilvl w:val="0"/>
          <w:numId w:val="2"/>
        </w:numPr>
        <w:spacing w:after="40" w:before="40"/>
      </w:pPr>
      <w:r>
        <w:t xml:space="preserve">Columns 16-23 (charge streams): compared against independently computed charge streams in Calc_TotalFund to verify the AXIS paste is consistent with per-policy spreadsheet mechanics.</w:t>
      </w:r>
    </w:p>
    <w:p>
      <w:pPr>
        <w:pStyle w:val="Heading2"/>
        <w:spacing w:after="120" w:before="240"/>
      </w:pPr>
      <w:r>
        <w:rPr>
          <w:b/>
          <w:bCs/>
        </w:rPr>
        <w:t xml:space="preserve">20.3 Paste_CARVM_PW and Paste_CARVM_NoPW</w:t>
      </w:r>
    </w:p>
    <w:p>
      <w:pPr>
        <w:pStyle w:val="Heading3"/>
        <w:spacing w:after="80" w:before="180"/>
      </w:pPr>
      <w:r>
        <w:rPr>
          <w:b/>
          <w:bCs/>
        </w:rPr>
        <w:t xml:space="preserve">20.3.1 Physical layout</w:t>
      </w:r>
    </w:p>
    <w:p>
      <w:pPr>
        <w:spacing w:after="80" w:before="80"/>
      </w:pPr>
      <w:r>
        <w:t xml:space="preserve">Both tabs share an identical 1,010 rows x 21 columns layout. Rows 1-8 are the header block; row 9 is the column-header row. The Proj Scn label in row 1, column 2 distinguishes the tabs: Paste_CARVM_PW displays 'PW' and Paste_CARVM_NoPW displays 'No PW.' Rows 3-4 carry two-row CARVM output labels (Greatest PV at col 20, Greatest PV Duration at col 20 of row 4) used by Calc_CARVM to identify the CARVM result columns. Row 8 carries the 'Discount Factors' group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340"/>
        <w:gridCol w:w="6660"/>
      </w:tblGrid>
      <w:tr>
        <w:trPr>
          <w:tblHeader/>
        </w:trPr>
        <w:tc>
          <w:tcPr>
            <w:tcW w:type="dxa" w:w="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Col #</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Header (Row 9)</w:t>
            </w:r>
          </w:p>
        </w:tc>
        <w:tc>
          <w:tcPr>
            <w:tcW w:type="dxa" w:w="6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Role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Projection Period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Row index</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Policy Yr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Policy year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Policy Month</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Policy month</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Month in Policy Yr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Month-in-year 1..12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BOP Date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BOP date</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EOP Date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EOP date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Calendar Month End During Policy Month</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Month-end date</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Attained Age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Attained age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ME Disc Factor for DB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Month-end discount factor for Death Benefit stream under CARVM prescribed rates (from Assumptions_Extracted sheet NYREG213_StdScn_CARVM_InterestRates)</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Mid-Month Disc Factor for DB</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Mid-month discount factor for DB -- mortality timing adjustment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ME Disc Factor for PW</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Month-end discount factor for Partial Withdrawal stream</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ME Disc Factor for CSV</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Month-end discount factor for CSV (Cash Surrender Value) stream</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ME Survivorship Factor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Combined survivorship factor (mortality x lapse) to month-end</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Fund Value at ME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Total fund value at month-end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CSV at ME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CSV (Fund Value less applicable surrender charge) at month-end</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Annuitization Benefit at ME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Annuitization benefit amount at month-end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Death Benefit this Month</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Gross death benefit cash flow for the month</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Partial WDs this Month</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Partial withdrawal cash flow -- populated in Paste_CARVM_PW; zero in Paste_CARVM_NoPW</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PV CSV</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Present value of CSV stream to this month (cumulative from t=0)</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PV Annuitization Benefits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Present value of annuitization benefit stream</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Greater of PV (Full Surrender/Annuitization)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MAX(PV CSV, PV Annuitization Benefits) -- the CARVM greatest-present-value result</w:t>
            </w:r>
          </w:p>
        </w:tc>
      </w:tr>
    </w:tbl>
    <w:p>
      <w:pPr>
        <w:pStyle w:val="Heading3"/>
        <w:spacing w:after="80" w:before="180"/>
      </w:pPr>
      <w:r>
        <w:rPr>
          <w:b/>
          <w:bCs/>
        </w:rPr>
        <w:t xml:space="preserve">20.3.2 PW vs No-PW structural distinction and PartialWithdrawals_Indicator routing</w:t>
      </w:r>
    </w:p>
    <w:p>
      <w:pPr>
        <w:spacing w:after="80" w:before="80"/>
      </w:pPr>
      <w:r>
        <w:rPr>
          <w:b/>
          <w:bCs/>
        </w:rPr>
        <w:t xml:space="preserve">Sole structural difference.</w:t>
      </w:r>
      <w:r>
        <w:t xml:space="preserve"> Column 18 (Partial WDs this Month) is the only column that differs between the two tabs. In Paste_CARVM_PW, column 18 carries the scheduled partial-withdrawal stream. In Paste_CARVM_NoPW, column 18 is zero for all data rows. The greatest-present-value computation in column 21 therefore includes partial-withdrawal benefit flows in the PW tab and excludes them in the NoPW tab.</w:t>
      </w:r>
    </w:p>
    <w:p>
      <w:pPr>
        <w:spacing w:after="80" w:before="80"/>
      </w:pPr>
      <w:r>
        <w:rPr>
          <w:b/>
          <w:bCs/>
        </w:rPr>
        <w:t xml:space="preserve">Selector formula.</w:t>
      </w:r>
      <w:r>
        <w:t xml:space="preserve"> Configuration!C7 (PartialWithdrawals_Indicator, defined name) = TRUE routes Calc_CARVM to Paste_CARVM_PW; FALSE routes to Paste_CARVM_NoPW. This switch also governs the PW stream in Calc_TotalFund!CK (section 10.3). The combined logic ensures that when PW is excluded from CARVM, it is also excluded from the Total Fund roll-forward that drives the CARVM stream, preserving internal consistency.</w:t>
      </w:r>
    </w:p>
    <w:p>
      <w:pPr>
        <w:spacing w:after="80" w:before="80"/>
      </w:pPr>
      <w:r>
        <w:rPr>
          <w:b/>
          <w:bCs/>
        </w:rPr>
        <w:t xml:space="preserve">CARVM interest rates.</w:t>
      </w:r>
      <w:r>
        <w:t xml:space="preserve"> The discount factors in columns 9-12 are derived from the NYREG213 Std Scn / CARVM Interest Rates table (Assumptions_Extracted.xlsx sheet NYREG213_StdScn_CARVM_InterestRates, source range Assumptions!$CZB$7:$CZG$~). This table provides the prescribed CARVM interest rate by Issue Year for five stream types: CSV (CZC), DB (CZD), PW (CZE), AG33 Seg Growth (CZF), and Annuitization (CZG). The CARVM reserve equals MAX over all projection months of column 21, per the greatest-present-value method described in section 1.3.</w:t>
      </w:r>
    </w:p>
    <w:p>
      <w:pPr>
        <w:pStyle w:val="Heading2"/>
        <w:spacing w:after="120" w:before="240"/>
      </w:pPr>
      <w:r>
        <w:rPr>
          <w:b/>
          <w:bCs/>
        </w:rPr>
        <w:t xml:space="preserve">20.4 Input_Future Scenario</w:t>
      </w:r>
    </w:p>
    <w:p>
      <w:pPr>
        <w:pStyle w:val="Heading3"/>
        <w:spacing w:after="80" w:before="180"/>
      </w:pPr>
      <w:r>
        <w:rPr>
          <w:b/>
          <w:bCs/>
        </w:rPr>
        <w:t xml:space="preserve">20.4.1 Physical layout</w:t>
      </w:r>
    </w:p>
    <w:p>
      <w:pPr>
        <w:spacing w:after="80" w:before="80"/>
      </w:pPr>
      <w:r>
        <w:t xml:space="preserve">Input_Future Scenario is shaped 25 rows x 604 columns. Row 1 is the header row. Rows 2-25 are data rows. Columns 1-4 are metadata columns (No, Run Id, ScnName, Row); columns 5-604 are time-series columns M1..M600. The 600-month horizon corresponds to Configuration!C19 (AXIS Scenario Length) = 600.</w:t>
      </w:r>
    </w:p>
    <w:p>
      <w:pPr>
        <w:pStyle w:val="Heading3"/>
        <w:spacing w:after="80" w:before="180"/>
      </w:pPr>
      <w:r>
        <w:rPr>
          <w:b/>
          <w:bCs/>
        </w:rPr>
        <w:t xml:space="preserve">20.4.2 Row inventory (Run Id = 810719771, ScnName = SCN\VM21\0151)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80"/>
        <w:gridCol w:w="1800"/>
        <w:gridCol w:w="1800"/>
        <w:gridCol w:w="4980"/>
      </w:tblGrid>
      <w:tr>
        <w:trPr>
          <w:tblHeader/>
        </w:trPr>
        <w:tc>
          <w:tcPr>
            <w:tcW w:type="dxa" w:w="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Row #</w:t>
            </w:r>
          </w:p>
        </w:tc>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No (col 1)</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Row label (col 4)</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Consumer</w:t>
            </w:r>
          </w:p>
        </w:tc>
        <w:tc>
          <w:tcPr>
            <w:tcW w:type="dxa" w:w="49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Notes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MRB_OCS-USER_RATE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Calc_ImpFwd; Calc_Inflation</w:t>
            </w:r>
          </w:p>
        </w:tc>
        <w:tc>
          <w:tcPr>
            <w:tcW w:type="dxa" w:w="4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Seed value M1 = 0.0025 (25 bps); subsequent months carry stochastic draws</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3</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120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Interest-YC_30YR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Calc_ImpFwd; Calc_StdScn_ANR</w:t>
            </w:r>
          </w:p>
        </w:tc>
        <w:tc>
          <w:tcPr>
            <w:tcW w:type="dxa" w:w="4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30-year Treasury spot rate in % (e.g. 3.98 at M1)</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4</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Interest-YC_20YR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Calc_ImpFwd</w:t>
            </w:r>
          </w:p>
        </w:tc>
        <w:tc>
          <w:tcPr>
            <w:tcW w:type="dxa" w:w="4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20-year point on the yield curve</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5</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118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Interest-YC_10YR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Calc_ImpFwd</w:t>
            </w:r>
          </w:p>
        </w:tc>
        <w:tc>
          <w:tcPr>
            <w:tcW w:type="dxa" w:w="4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10-year Treasury spot rate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6</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Interest-YC_7YR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Calc_ImpFwd</w:t>
            </w:r>
          </w:p>
        </w:tc>
        <w:tc>
          <w:tcPr>
            <w:tcW w:type="dxa" w:w="4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7-year point</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7</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116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Interest-YC_5YR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Calc_ImpFwd</w:t>
            </w:r>
          </w:p>
        </w:tc>
        <w:tc>
          <w:tcPr>
            <w:tcW w:type="dxa" w:w="4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5-year point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8</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Interest-YC_3YR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Calc_ImpFwd</w:t>
            </w:r>
          </w:p>
        </w:tc>
        <w:tc>
          <w:tcPr>
            <w:tcW w:type="dxa" w:w="4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3-year point</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9</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114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Interest-YC_2YR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Calc_ImpFwd</w:t>
            </w:r>
          </w:p>
        </w:tc>
        <w:tc>
          <w:tcPr>
            <w:tcW w:type="dxa" w:w="4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2-year point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Interest-YC_1YR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Calc_ImpFwd</w:t>
            </w:r>
          </w:p>
        </w:tc>
        <w:tc>
          <w:tcPr>
            <w:tcW w:type="dxa" w:w="4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1-year point</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11</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Interest-YC_6M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Calc_ImpFwd</w:t>
            </w:r>
          </w:p>
        </w:tc>
        <w:tc>
          <w:tcPr>
            <w:tcW w:type="dxa" w:w="4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6-month point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12</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Interest-YC_3M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Calc_ImpFwd</w:t>
            </w:r>
          </w:p>
        </w:tc>
        <w:tc>
          <w:tcPr>
            <w:tcW w:type="dxa" w:w="4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3-month point (short end of yield curve)</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13</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75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S&amp;P 500-EQ_Growth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Calc_SepAcct (Inv Acct #1)</w:t>
            </w:r>
          </w:p>
        </w:tc>
        <w:tc>
          <w:tcPr>
            <w:tcW w:type="dxa" w:w="4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Monthly total-return growth rate for S&amp;P 500 fund stack (Calc_SepAcct col AO anchor)</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14</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76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Russell 2000-EQ_Growth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Calc_SepAcct (Inv Acct #2)</w:t>
            </w:r>
          </w:p>
        </w:tc>
        <w:tc>
          <w:tcPr>
            <w:tcW w:type="dxa" w:w="4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Monthly total-return growth rate for Russell 2000 fund stack (Calc_SepAcct col BW anchor)</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15</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77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MSCI EAFE-EQ_Growth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Calc_SepAcct (Inv Acct #4)</w:t>
            </w:r>
          </w:p>
        </w:tc>
        <w:tc>
          <w:tcPr>
            <w:tcW w:type="dxa" w:w="4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Monthly total-return growth rate for MSCI EAFE fund stack (Calc_SepAcct col EM anchor)</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16</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78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Barclays Capital Aggregate-EQ_Growth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Calc_SepAcct (Inv Acct #6)</w:t>
            </w:r>
          </w:p>
        </w:tc>
        <w:tc>
          <w:tcPr>
            <w:tcW w:type="dxa" w:w="4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Monthly total-return growth rate for Barclays Aggregate fund stack (Calc_SepAcct col HC anchor)</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17</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79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Risk-Managed Fund-EQ_Growth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Calc_SepAcct (Inv Acct #3)</w:t>
            </w:r>
          </w:p>
        </w:tc>
        <w:tc>
          <w:tcPr>
            <w:tcW w:type="dxa" w:w="4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Monthly total-return for Risk-Managed Fund stack (Calc_SepAcct col DE anchor)</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18</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Money Market-EQ_Growth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Calc_SepAcct (Inv Acct #5)</w:t>
            </w:r>
          </w:p>
        </w:tc>
        <w:tc>
          <w:tcPr>
            <w:tcW w:type="dxa" w:w="4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Monthly return for Money Market fund stack (Calc_SepAcct col FU anchor)</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19</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80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S&amp;P 500-EQ_Income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Calc_SepAcct (Inv Acct #1)</w:t>
            </w:r>
          </w:p>
        </w:tc>
        <w:tc>
          <w:tcPr>
            <w:tcW w:type="dxa" w:w="4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Income (dividend yield equivalent) component of S&amp;P 500 return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Russell 2000-EQ_Income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Calc_SepAcct (Inv Acct #2)</w:t>
            </w:r>
          </w:p>
        </w:tc>
        <w:tc>
          <w:tcPr>
            <w:tcW w:type="dxa" w:w="4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Income component of Russell 2000 return</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21</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80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MSCI EAFE-EQ_Income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Calc_SepAcct (Inv Acct #4)</w:t>
            </w:r>
          </w:p>
        </w:tc>
        <w:tc>
          <w:tcPr>
            <w:tcW w:type="dxa" w:w="4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Income component of MSCI EAFE return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22</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Barclays Capital Aggregate-EQ_Income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Calc_SepAcct (Inv Acct #6)</w:t>
            </w:r>
          </w:p>
        </w:tc>
        <w:tc>
          <w:tcPr>
            <w:tcW w:type="dxa" w:w="4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Income component of Barclays Aggregate return</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23</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80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Risk-Managed Fund-EQ_Income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Calc_SepAcct (Inv Acct #3)</w:t>
            </w:r>
          </w:p>
        </w:tc>
        <w:tc>
          <w:tcPr>
            <w:tcW w:type="dxa" w:w="4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Income component of Risk-Managed Fund return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24</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Money Market-EQ_Income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Calc_SepAcct (Inv Acct #5)</w:t>
            </w:r>
          </w:p>
        </w:tc>
        <w:tc>
          <w:tcPr>
            <w:tcW w:type="dxa" w:w="4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Income component of Money Market return</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25</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81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Inflation-INFL_RATE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Calc_Inflation</w:t>
            </w:r>
          </w:p>
        </w:tc>
        <w:tc>
          <w:tcPr>
            <w:tcW w:type="dxa" w:w="4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Monthly CPI / expense inflation rate</w:t>
            </w:r>
          </w:p>
        </w:tc>
      </w:tr>
    </w:tbl>
    <w:p>
      <w:pPr>
        <w:spacing w:after="80" w:before="80"/>
      </w:pPr>
      <w:r>
        <w:rPr>
          <w:b/>
          <w:bCs/>
        </w:rPr>
        <w:t xml:space="preserve">Note on Fixed Account and DCA Account.</w:t>
      </w:r>
      <w:r>
        <w:t xml:space="preserve"> Inv Acct #7 (Fixed Account) growth is derived from Calc_FixedAcct credited-rate mechanics across the six fixed-account stacks (POR col AD, MGA col AX, POR-MultiFund col BS, POR-Portland col CM, 401K col DG, DCA Account col EM) and is not sourced from Input_Future Scenario. Inv Acct #8 (DCA Account) is handled in the DCA Account stack of Calc_FixedAcct. Neither account has a row in the scenario tab.</w:t>
      </w:r>
    </w:p>
    <w:p>
      <w:pPr>
        <w:pStyle w:val="Heading3"/>
        <w:spacing w:after="80" w:before="180"/>
      </w:pPr>
      <w:r>
        <w:rPr>
          <w:b/>
          <w:bCs/>
        </w:rPr>
        <w:t xml:space="preserve">20.4.3 Yield curve tenors and implied forward derivation</w:t>
      </w:r>
    </w:p>
    <w:p>
      <w:pPr>
        <w:spacing w:after="80" w:before="80"/>
      </w:pPr>
      <w:r>
        <w:t xml:space="preserve">The ten yield-curve tenors (30Y, 20Y, 10Y, 7Y, 5Y, 3Y, 2Y, 1Y, 6M, 3M) form the input to Calc_ImpFwd. Calc_ImpFwd bootstraps the implied forward curve from the spot rates using standard zero-coupon compounding, producing a monthly-frequency forward rate series consumed by Calc_Lapse_NYREG213 (dynamic lapse driver, Assumptions_Extracted.xlsx sheet NYREG213_DynLapse_ImpFwds) and by Calc_StdScn_ANR (columns 9-11 of the Paste tabs for the Standard Scenario interest path). The test scenario carries all ten tenors at 3.98% at M1 (flat yield curve assumption) with minor variation in subsequent months.</w:t>
      </w:r>
    </w:p>
    <w:p>
      <w:pPr>
        <w:pStyle w:val="Heading3"/>
        <w:spacing w:after="80" w:before="180"/>
      </w:pPr>
      <w:r>
        <w:rPr>
          <w:b/>
          <w:bCs/>
        </w:rPr>
        <w:t xml:space="preserve">20.4.4 AXIS Scenario Length vs Projection_Months reconciliation</w:t>
      </w:r>
    </w:p>
    <w:p>
      <w:pPr>
        <w:spacing w:after="80" w:before="80"/>
      </w:pPr>
      <w:r>
        <w:t xml:space="preserve">Configuration!C19 = 600 (AXIS Scenario Length) and Configuration!C8 = 480 (Projection_Months). Input_Future Scenario provides 600 monthly columns, of which only M1..M480 are actively consumed when Projection_Months = 480. Months M481..M600 exist in the tab but their calculation-engine rows produce zero net activity because Calc_Lives!P has collapsed to zero by month 480, per the forced-lapse mechanism in section 8.5. The 120-month surplus allows ad-hoc extensions of the projection horizon up to 600 months without re-populating the scenario tab.</w:t>
      </w:r>
    </w:p>
    <w:p>
      <w:pPr>
        <w:spacing w:after="80" w:before="80"/>
      </w:pPr>
      <w:r>
        <w:rPr>
          <w:b/>
          <w:bCs/>
        </w:rPr>
        <w:t xml:space="preserve">Guard condition.</w:t>
      </w:r>
      <w:r>
        <w:t xml:space="preserve"> If Projection_Months &gt; 600, the scenario tabs do not supply data for months 601+. Calc_SepAcct and Calc_FixedAcct will return #N/A or 0 for those rows. A runtime guard as noted in section 2.5 is recommended for production deployments.</w:t>
      </w:r>
    </w:p>
    <w:p>
      <w:pPr>
        <w:pStyle w:val="Heading2"/>
        <w:spacing w:after="120" w:before="240"/>
      </w:pPr>
      <w:r>
        <w:rPr>
          <w:b/>
          <w:bCs/>
        </w:rPr>
        <w:t xml:space="preserve">20.5 Input_Historic Scenario</w:t>
      </w:r>
    </w:p>
    <w:p>
      <w:pPr>
        <w:pStyle w:val="Heading3"/>
        <w:spacing w:after="80" w:before="180"/>
      </w:pPr>
      <w:r>
        <w:rPr>
          <w:b/>
          <w:bCs/>
        </w:rPr>
        <w:t xml:space="preserve">20.5.1 Physical layout</w:t>
      </w:r>
    </w:p>
    <w:p>
      <w:pPr>
        <w:spacing w:after="80" w:before="80"/>
      </w:pPr>
      <w:r>
        <w:t xml:space="preserve">Input_Historic Scenario is shaped 19 rows x 124 columns. Row 1 is the header row with column headers: No, Run Id, ScnName, Row, then -M1 through -M120. Rows 2-19 carry 18 historic time series. Column 5 is -M1 (the most recent completed month prior to the valuation date); column 124 is -M120 (120 months prior to valuation). Negative-month indexing distinguishes historic from forward data.</w:t>
      </w:r>
    </w:p>
    <w:p>
      <w:pPr>
        <w:spacing w:after="80" w:before="80"/>
      </w:pPr>
      <w:r>
        <w:rPr>
          <w:b/>
          <w:bCs/>
        </w:rPr>
        <w:t xml:space="preserve">Source typo (preserved verbatim).</w:t>
      </w:r>
      <w:r>
        <w:t xml:space="preserve"> The ScnName field in all 18 data rows reads 'Historic Sceanrio' (letters 'a' and 'e' transposed). This typo is present in the source workbook and is preserved here for exact reproduction; any lookup against ScnName must match the misspelled string.</w:t>
      </w:r>
    </w:p>
    <w:p>
      <w:pPr>
        <w:pStyle w:val="Heading3"/>
        <w:spacing w:after="80" w:before="180"/>
      </w:pPr>
      <w:r>
        <w:rPr>
          <w:b/>
          <w:bCs/>
        </w:rPr>
        <w:t xml:space="preserve">20.5.2 Row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2160"/>
        <w:gridCol w:w="4560"/>
      </w:tblGrid>
      <w:tr>
        <w:trPr>
          <w:tblHeader/>
        </w:trP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Row #</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Row label (col 4)</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Future Scenario Counterpart</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Notes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MRB_OCS-USER_RATE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MRB_OCS-USER_RATE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Same rate series -- historic values</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Interest-YC_30YR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Interest-YC_30YR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30-year historic spot rate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Interest-YC_20YR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Interest-YC_20YR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20-year historic spot rate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Interest-YC_10YR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Interest-YC_10YR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10-year historic spot rate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Interest-YC_7YR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Interest-YC_7YR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7-year historic spot rate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7</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Interest-YC_5YR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Interest-YC_5YR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5-year historic spot rate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Interest-YC_3YR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Interest-YC_3YR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3-year historic spot rate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9</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Interest-YC_2YR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Interest-YC_2YR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2-year historic spot rate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Interest-YC_1YR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Interest-YC_1YR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1-year historic spot rate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11</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Interest-YC_6M</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Interest-YC_6M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6-month historic spot rate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Interest-YC_3M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Interest-YC_3M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3-month historic spot rate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S&amp;P_500-EQ_Index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S&amp;P 500-EQ_Growth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Index level (not return) for S&amp;P 500 -- note underscore in historic label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Russell_2000-EQ_Index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Russell 2000-EQ_Growth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Index level for Russell 2000</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MSCI_EAFE-EQ_Index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MSCI EAFE-EQ_Growth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Index level for MSCI EAFE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Barclays_Capital_Aggregate-EQ_Index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Barclays Capital Aggregate-EQ_Growth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Index level for Barclays Aggregate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17</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Risk-Managed_Fund-EQ_Index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Risk-Managed Fund-EQ_Growth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Index level for Risk-Managed Fund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Money_Market-EQ_Index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Money Market-EQ_Growth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Index level for Money Market</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19</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Inflation-INFL_RATE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Inflation-INFL_RATE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Historic inflation rate series (row No = 81)</w:t>
            </w:r>
          </w:p>
        </w:tc>
      </w:tr>
    </w:tbl>
    <w:p>
      <w:pPr>
        <w:pStyle w:val="Heading3"/>
        <w:spacing w:after="80" w:before="180"/>
      </w:pPr>
      <w:r>
        <w:rPr>
          <w:b/>
          <w:bCs/>
        </w:rPr>
        <w:t xml:space="preserve">20.5.3 Consumption</w:t>
      </w:r>
    </w:p>
    <w:p>
      <w:pPr>
        <w:spacing w:after="80" w:before="80"/>
      </w:pPr>
      <w:r>
        <w:t xml:space="preserve">Input_Historic Scenario is consumed primarily by the Index Growth tab and by Calc_ImpFwd for backward-bootstrapping the implied-forward curve from observed spot rates prior to the valuation date. The 120-month backward window provides sufficient history for the dynamic lapse models in Calc_Lapse_NYREG213 that use trailing interest-rate levels as the dynamic-lapse driver (Assumptions_Extracted.xlsx sheet NYREG213_DynLapse_ImpFwds). The equity index levels (rather than returns) allow Calc_SepAcct to compute historically realized returns via period-over-period ratios, feeding the historic-scenario portions of the fund roll-forward.</w:t>
      </w:r>
    </w:p>
    <w:p>
      <w:r>
        <w:br w:type="page"/>
      </w:r>
    </w:p>
    <w:p>
      <w:pPr>
        <w:pStyle w:val="Heading1"/>
        <w:spacing w:after="180" w:before="360"/>
      </w:pPr>
      <w:r>
        <w:rPr>
          <w:b/>
          <w:bCs/>
        </w:rPr>
        <w:t xml:space="preserve">21. Outputs and Report Mapping</w:t>
      </w:r>
    </w:p>
    <w:p>
      <w:pPr>
        <w:pStyle w:val="Heading2"/>
        <w:spacing w:after="120" w:before="240"/>
      </w:pPr>
      <w:r>
        <w:rPr>
          <w:b/>
          <w:bCs/>
        </w:rPr>
        <w:t xml:space="preserve">21.1 Purpose</w:t>
      </w:r>
    </w:p>
    <w:p>
      <w:pPr>
        <w:spacing w:after="80" w:before="80"/>
      </w:pPr>
      <w:r>
        <w:t xml:space="preserve">The Report Mappings tab is the crosswalk between per-policy calculation engine outputs and three downstream report formats: the Illustration Report (two variants -- non-i4L and i4L, distinguished by workbook alias), the CY Report (row-numbered output for AXIS DAC reconciliation), and the AXIS DAC Recon Report. Each row of Report Mappings identifies a named output item, maps it to the AXIS/workbook column alias used to retrieve it, and (in the CY Report column) assigns a row number. Where the row number shows #VALUE!, the formula references a cell that is non-numeric or empty in the current test-policy state -- the implementer should treat #VALUE! entries as confirmed output slots whose source formula is present but whose test-policy value is not available. The Report Mappings tab does not contain projection formulas; it is a metadata registry. The calculation engines are the sources of truth.</w:t>
      </w:r>
    </w:p>
    <w:p>
      <w:pPr>
        <w:pStyle w:val="Heading2"/>
        <w:spacing w:after="120" w:before="240"/>
      </w:pPr>
      <w:r>
        <w:rPr>
          <w:b/>
          <w:bCs/>
        </w:rPr>
        <w:t xml:space="preserve">21.2 Illustration Report</w:t>
      </w:r>
    </w:p>
    <w:p>
      <w:pPr>
        <w:pStyle w:val="Heading3"/>
        <w:spacing w:after="80" w:before="180"/>
      </w:pPr>
      <w:r>
        <w:rPr>
          <w:b/>
          <w:bCs/>
        </w:rPr>
        <w:t xml:space="preserve">21.2.1 Structure</w:t>
      </w:r>
    </w:p>
    <w:p>
      <w:pPr>
        <w:spacing w:after="80" w:before="80"/>
      </w:pPr>
      <w:r>
        <w:t xml:space="preserve">The Illustration Report block occupies Report Mappings rows 4-24, columns C-E. Column C carries the output item label (Use def output - Output Scalar N From GMWB Table for scalars 1-20). Column D carries the Workbook Alias for the non-i4L path. Column E carries the Workbook Alias for the i4L path. The alias is used in the downstream extraction script to retrieve the per-month value from the corresponding calc-engine column.</w:t>
      </w:r>
    </w:p>
    <w:p>
      <w:pPr>
        <w:pStyle w:val="Heading3"/>
        <w:spacing w:after="80" w:before="180"/>
      </w:pPr>
      <w:r>
        <w:rPr>
          <w:b/>
          <w:bCs/>
        </w:rPr>
        <w:t xml:space="preserve">21.2.2 Output Scalar definitions -- non-i4L vs i4L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2160"/>
        <w:gridCol w:w="4920"/>
      </w:tblGrid>
      <w:tr>
        <w:trPr>
          <w:tblHeader/>
        </w:trP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Scalar #</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Non-i4L Alias (col D)</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i4L Alias (col E)</w:t>
            </w:r>
          </w:p>
        </w:tc>
        <w:tc>
          <w:tcPr>
            <w:tcW w:type="dxa" w:w="4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Description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LB Claim Adj</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LB Claim Adj</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Living-benefit claim adjustment factor from Calc_HaircutFactors LB Claim decrement block (cols AJ-AN, section 9.4)</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AV Charge Haircut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AV Charge Haircut</w:t>
            </w:r>
          </w:p>
        </w:tc>
        <w:tc>
          <w:tcPr>
            <w:tcW w:type="dxa" w:w="4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AV charge inefficient-utilization haircut from Calc_HaircutFactors AV Charge decrement block (cols X-AB, section 9.4)</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LB Charge Haircut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LB Charge Haircut</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LB charge inefficient-utilization haircut from Calc_HaircutFactors LB Charge decrement block (cols AD-AH, section 9.4)</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WB Base for Reins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Annual Payment</w:t>
            </w:r>
          </w:p>
        </w:tc>
        <w:tc>
          <w:tcPr>
            <w:tcW w:type="dxa" w:w="4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Non-i4L: GMWB benefit base used in reinsurance calculation (Calc_TotalFund GMWB BB block cols N-AC, section 10.4); i4L: annual payment from Calc_i4L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EEB Face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EEB Face</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EEB (Enhanced Earnings Benefit) face amount from Calc_TotalFund GMDB block (cols AY-BU, section 10.5)</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(non-i4L N/A)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LB Charge Adj</w:t>
            </w:r>
          </w:p>
        </w:tc>
        <w:tc>
          <w:tcPr>
            <w:tcW w:type="dxa" w:w="4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i4L LB charge adjustment from Calc_i4L (45 columns)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(non-i4L 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AV Charge Adj</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i4L AV charge adjustment from Calc_i4L</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(non-i4L N/A)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Annuity Factor Access Period</w:t>
            </w:r>
          </w:p>
        </w:tc>
        <w:tc>
          <w:tcPr>
            <w:tcW w:type="dxa" w:w="4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i4L annuity factor during the Access Period from Calc_i4L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(non-i4L 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Annuity Factor Post Access Period</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i4L annuity factor post-Access Period from Calc_i4L</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Fund before WD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Pol Load</w:t>
            </w:r>
          </w:p>
        </w:tc>
        <w:tc>
          <w:tcPr>
            <w:tcW w:type="dxa" w:w="4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Non-i4L: total fund value before GMWB withdrawal (Calc_TotalFund); i4L: policy load from Calc_TotalFund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GMWB Benefit Base End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i4L Charge</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Non-i4L: GMWB benefit base at EOP (Calc_TotalFund cols N-AC); i4L: i4L rider charge from Calc_i4L</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GMWB Ben Rate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GIB Charge</w:t>
            </w:r>
          </w:p>
        </w:tc>
        <w:tc>
          <w:tcPr>
            <w:tcW w:type="dxa" w:w="4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Non-i4L: GMWB benefit rate (CA rate from GMWB Feature Grid); i4L: GIB rider charge from Calc_i4L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AV Charge Adj</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4Later Charge</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Non-i4L: AV charge adjustment (Calc_TotalFund charge stack); i4L: 4Later rider charge from Calc_i4L</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LB Charge Adj</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Policy Month Pmt Start</w:t>
            </w:r>
          </w:p>
        </w:tc>
        <w:tc>
          <w:tcPr>
            <w:tcW w:type="dxa" w:w="4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Non-i4L: LB charge adjustment (Calc_TotalFund); i4L: policy month on which payment commences (Calc_i4L)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(non-i4L 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4Later CIB End</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i4L 4Later Cumulative Income Base at EOP (Calc_i4L)</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(non-i4L N/A)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AP End Age</w:t>
            </w:r>
          </w:p>
        </w:tc>
        <w:tc>
          <w:tcPr>
            <w:tcW w:type="dxa" w:w="4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i4L Access Period end attained age (Calc_i4L)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(non-i4L 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Min Payment</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i4L minimum payment amount (Calc_i4L)</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(non-i4L N/A)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COI Credit</w:t>
            </w:r>
          </w:p>
        </w:tc>
        <w:tc>
          <w:tcPr>
            <w:tcW w:type="dxa" w:w="4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i4L cost-of-insurance credit (Calc_i4L)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(non-i4L 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AP Remaining</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i4L Access Period remaining months (Calc_i4L)</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(non-i4L N/A)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Post Access Period Indicator</w:t>
            </w:r>
          </w:p>
        </w:tc>
        <w:tc>
          <w:tcPr>
            <w:tcW w:type="dxa" w:w="4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i4L flag: 1 if policy is post-AP, 0 if pre-AP (Calc_i4L)</w:t>
            </w:r>
          </w:p>
        </w:tc>
      </w:tr>
    </w:tbl>
    <w:p>
      <w:pPr>
        <w:pStyle w:val="Heading2"/>
        <w:spacing w:after="120" w:before="240"/>
      </w:pPr>
      <w:r>
        <w:rPr>
          <w:b/>
          <w:bCs/>
        </w:rPr>
        <w:t xml:space="preserve">21.3 CY Report</w:t>
      </w:r>
    </w:p>
    <w:p>
      <w:pPr>
        <w:pStyle w:val="Heading3"/>
        <w:spacing w:after="80" w:before="180"/>
      </w:pPr>
      <w:r>
        <w:rPr>
          <w:b/>
          <w:bCs/>
        </w:rPr>
        <w:t xml:space="preserve">21.3.1 Structure</w:t>
      </w:r>
    </w:p>
    <w:p>
      <w:pPr>
        <w:spacing w:after="80" w:before="80"/>
      </w:pPr>
      <w:r>
        <w:t xml:space="preserve">The CY Report block occupies Report Mappings rows 4-96, columns G-I. Column G carries the AXIS-standard output label (the string AXIS uses to identify the output slot in its CY report). Column H carries a shorter Workbook Alias used in the extraction script. Column I carries the row number assigned to this output in the CY Report. All current row numbers display #VALUE!, indicating the source formula references a cell that is empty or non-numeric in the test-policy state; the labels and aliases are confirmed correct from the source workbook.</w:t>
      </w:r>
    </w:p>
    <w:p>
      <w:pPr>
        <w:pStyle w:val="Heading3"/>
        <w:spacing w:after="80" w:before="180"/>
      </w:pPr>
      <w:r>
        <w:rPr>
          <w:b/>
          <w:bCs/>
        </w:rPr>
        <w:t xml:space="preserve">21.3.2 CY Report output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40"/>
        <w:gridCol w:w="1800"/>
        <w:gridCol w:w="342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Rpt Mappings Row</w:t>
            </w:r>
          </w:p>
        </w:tc>
        <w:tc>
          <w:tcPr>
            <w:tcW w:type="dxa" w:w="3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AXIS Output Label (col G)</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Workbook Alias (col H)</w:t>
            </w:r>
          </w:p>
        </w:tc>
        <w:tc>
          <w:tcPr>
            <w:tcW w:type="dxa" w:w="34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CY Row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Annuity Seg Fund/ Sep Acct + deposits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6</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Annuity Seg Fund/ Sep Acct + bonus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Annuity Seg Fund/ Sep Acct - expense charge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8</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Annuity Seg Fund/ Sep Acct + reset/mat/GMWB pay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9</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Annuity Seg Fund/ Sep Acct + interest credited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10</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Annuity Seg Fund/ Sep Acct - released on lapse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Annuity Seg Fund/ Sep Acct - released on extra lapse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12</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Annuity Seg Fund/ Sep Acct - released on maturity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Annuity Seg Fund/ Sep Acct - released on death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14</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Annuity Seg Fund/ Sep Acct - released on PWD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Annuity Seg Fund/ Sep Acct + transfer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16</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Annuity Seg Fund/ Sep Acct + other adjustments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Annuity Seg Fund/ Sep Acct 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Total Account Value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18</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Annuity Seg Fund/ Sep Acct GMWB payment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19</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Annuity fund + deposits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20</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Annuity fund + bonus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Annuity fund - expense charge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22</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Annuity fund + reset/mat/GMWB pay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Annuity fund + interest credited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24</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Annuity fund - released on lapse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Annuity fund - released on extra lapse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26</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Annuity fund - released on maturity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Annuity fund - released on death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28</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Annuity fund - released on PWD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29</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Annuity fund + transfer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30</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Annuity fund + other adjustments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31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Annuity fund 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Total Account Value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32</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Annuity fund GMWB payment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33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Annuity GMWB 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34</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Gross - cash surrender value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CSV</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35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GMDB inforce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36</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Total expense - first year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First Yr Expenses</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37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Total expense - renewal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Renewal Expenses</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38</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Gross bonus paid to segregated fund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39</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NRSI - category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40</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Gross premium - first year accum ann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41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Gross premium - renewal accum ann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42</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Gross commission - first year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First Yr Commissions</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43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Gross commission - renewal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Renewal Commissions</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44</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Gross benefits - death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Death Benefits</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45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Gross benefits - accum ph payout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Withdrawal Benefits</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46</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Gross benefits - surrender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Surrender Benefits</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47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Gross benefits - maturity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48</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Gross segregated fund fees received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49</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Total gross cashflow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Total gross cashflows</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50</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Annuity GMWB expense benchmark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51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Ann death benefit bonus paid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52</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Ann withdrawal bonus paid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53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Vendor Defined - Exp chg per fund - cat 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54</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Vendor Defined - Exp chg per seg fund - cat 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M&amp;E Charge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55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Vendor Defined - Exp chg per seg fund - GMDB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GMDB Charge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56</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Vendor Defined - Exp chg per GMWB table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Rider Charge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57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Vendor Defined - Exp per exp benchmark - per fund 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58</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Vendor Defined - Annuity exp chg per policy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59</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Vendor Defined - Exp chg for GMDB in GMWB 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60</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Actual Inforce Movement - deaths - Coverage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Deaths</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61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Actual Inforce Movement - lapses - Coverage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Lapses</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62</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Actual Inforce Movement - extra lapse - Coverage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63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Actual Inforce Movement - maturities - Coverage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64</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Actual Inforce Movement - inforce - Coverage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Lives</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65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Partial Withdrawal Scalars - Output scalar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Policy Month Payment Start (4Later)</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66</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Partial Withdrawal Scalars - Output scalar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Payment</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67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Partial Withdrawal Scalars - Output scalar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Payment in excess of AV</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68</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Partial Withdrawal Scalars - Output scalar 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COI Credit</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69</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Partial Withdrawal Scalars - Output scalar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4Later Charge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70</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Partial Withdrawal Scalars - Output scalar 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GIB Charge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71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Partial Withdrawal Scalars - Output scalar 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i4L Charge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72</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Partial Withdrawal Scalars - Output scalar 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4Later Income Base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73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Partial Withdrawal Scalars - Output scalar 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Pol Load</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74</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Partial Withdrawal Scalars - Output scalar 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Prem Tax &amp; Adj Load</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75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Partial Withdrawal Scalars - Output scalar 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Prem Tax Expense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76</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Partial Withdrawal Scalars - Output scalar 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AV Charge Adj</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77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Partial Withdrawal Scalars - Output scalar 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LB Charge Adj</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78</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Partial Withdrawal Scalars - Output scalar 14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Payment Adj</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79-83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Partial Withdrawal Scalars - Output scalars 26-30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84</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Fund Bonus Scalars - Output scalar 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PremFeeMS</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85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Fund Bonus Scalars - Output scalar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PremFeeLapses</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86</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Fund Bonus Scalars - Output scalar 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PersistCreditMS</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87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Fund Bonus Scalars - Output scalar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i4LAPAdjDeaths</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88</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VA__\ReinsTreaty\LNBar - Individual premium component 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89</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VA__\ReinsTreaty\LNBar - Individual premium component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90</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VA__\ReinsTreaty\LNBar - Premium - first year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91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VA__\ReinsTreaty\LNBar - Premium - renewal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92</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VA__\ReinsTreaty\LNBar - Ceded DB inforce in excess of fund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93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VA__\ReinsTreaty\LNBar - Benefits - death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94</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VA__\ReinsTreaty\LNBar - Benefits - accum ph payout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95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VA__\ReinsTreaty\LNBar - Total ceded annuity ind cashflow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96</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VA__\ReinsTreaty\LNBar - Total ceded annuity ind weighted CF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(none)</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#VALUE!</w:t>
            </w:r>
          </w:p>
        </w:tc>
      </w:tr>
    </w:tbl>
    <w:p>
      <w:pPr>
        <w:pStyle w:val="Heading3"/>
        <w:spacing w:after="80" w:before="180"/>
      </w:pPr>
      <w:r>
        <w:rPr>
          <w:b/>
          <w:bCs/>
        </w:rPr>
        <w:t xml:space="preserve">21.3.3 Source engine mapping for CY Report</w:t>
      </w:r>
    </w:p>
    <w:p>
      <w:pPr>
        <w:pStyle w:val="ListParagraph"/>
        <w:numPr>
          <w:ilvl w:val="0"/>
          <w:numId w:val="2"/>
        </w:numPr>
        <w:spacing w:after="40" w:before="40"/>
      </w:pPr>
      <w:r>
        <w:rPr>
          <w:b/>
          <w:bCs/>
        </w:rPr>
        <w:t xml:space="preserve">Sep Acct fund movements (rows 5-18):</w:t>
      </w:r>
      <w:r>
        <w:t xml:space="preserve"> sourced from Calc_SepAcct (243 columns). The six fund stacks (Inv Acct #1-#6 at columns AO / BW / DE / EM / FU / HC of Calc_SepAcct) aggregate to produce the Annuity Seg Fund balance and movement rows. Deposits, bonuses, charge releases, interest credited, fund transfers, and GMWB payment flows each correspond to a specific Calc_SepAcct column group.</w:t>
      </w:r>
    </w:p>
    <w:p>
      <w:pPr>
        <w:pStyle w:val="ListParagraph"/>
        <w:numPr>
          <w:ilvl w:val="0"/>
          <w:numId w:val="2"/>
        </w:numPr>
        <w:spacing w:after="40" w:before="40"/>
      </w:pPr>
      <w:r>
        <w:rPr>
          <w:b/>
          <w:bCs/>
        </w:rPr>
        <w:t xml:space="preserve">Fixed Account fund movements (rows 19-32):</w:t>
      </w:r>
      <w:r>
        <w:t xml:space="preserve"> sourced from Calc_FixedAcct (166 columns) across six stacks: POR (col AD), MGA (col AX), POR-MultiFund (col BS), POR-Portland (col CM), 401K (col DG), DCA Account (col EM). The aggregate fixed-account balance and movement items are the sum across all six stacks.</w:t>
      </w:r>
    </w:p>
    <w:p>
      <w:pPr>
        <w:pStyle w:val="ListParagraph"/>
        <w:numPr>
          <w:ilvl w:val="0"/>
          <w:numId w:val="2"/>
        </w:numPr>
        <w:spacing w:after="40" w:before="40"/>
      </w:pPr>
      <w:r>
        <w:rPr>
          <w:b/>
          <w:bCs/>
        </w:rPr>
        <w:t xml:space="preserve">Total Account Value (rows 17 / 31):</w:t>
      </w:r>
      <w:r>
        <w:t xml:space="preserve"> sum of Calc_SepAcct aggregate balance and Calc_FixedAcct aggregate balance = Calc_TotalFund!HC (Total Fund Output, per section 10.2).</w:t>
      </w:r>
    </w:p>
    <w:p>
      <w:pPr>
        <w:pStyle w:val="ListParagraph"/>
        <w:numPr>
          <w:ilvl w:val="0"/>
          <w:numId w:val="2"/>
        </w:numPr>
        <w:spacing w:after="40" w:before="40"/>
      </w:pPr>
      <w:r>
        <w:rPr>
          <w:b/>
          <w:bCs/>
        </w:rPr>
        <w:t xml:space="preserve">CSV (row 34):</w:t>
      </w:r>
      <w:r>
        <w:t xml:space="preserve"> sourced from Calc_TotalFund!K (CSV column in the Helper block, section 10.2).</w:t>
      </w:r>
    </w:p>
    <w:p>
      <w:pPr>
        <w:pStyle w:val="ListParagraph"/>
        <w:numPr>
          <w:ilvl w:val="0"/>
          <w:numId w:val="2"/>
        </w:numPr>
        <w:spacing w:after="40" w:before="40"/>
      </w:pPr>
      <w:r>
        <w:rPr>
          <w:b/>
          <w:bCs/>
        </w:rPr>
        <w:t xml:space="preserve">Expenses (rows 36-37):</w:t>
      </w:r>
      <w:r>
        <w:t xml:space="preserve"> first-year and renewal expense streams from Calc_TotalFund columns DH-DP (VM21CA Expenses) or DS-EB (VM21PA Expenses) per the active Reserve_Basis, per section 10.2.</w:t>
      </w:r>
    </w:p>
    <w:p>
      <w:pPr>
        <w:pStyle w:val="ListParagraph"/>
        <w:numPr>
          <w:ilvl w:val="0"/>
          <w:numId w:val="2"/>
        </w:numPr>
        <w:spacing w:after="40" w:before="40"/>
      </w:pPr>
      <w:r>
        <w:rPr>
          <w:b/>
          <w:bCs/>
        </w:rPr>
        <w:t xml:space="preserve">Commissions (rows 42-43):</w:t>
      </w:r>
      <w:r>
        <w:t xml:space="preserve"> from Calc_TotalFund columns DB-DE (commission streams, section 10.2).</w:t>
      </w:r>
    </w:p>
    <w:p>
      <w:pPr>
        <w:pStyle w:val="ListParagraph"/>
        <w:numPr>
          <w:ilvl w:val="0"/>
          <w:numId w:val="2"/>
        </w:numPr>
        <w:spacing w:after="40" w:before="40"/>
      </w:pPr>
      <w:r>
        <w:rPr>
          <w:b/>
          <w:bCs/>
        </w:rPr>
        <w:t xml:space="preserve">Benefits (rows 44-46):</w:t>
      </w:r>
      <w:r>
        <w:t xml:space="preserve"> death benefits from Calc_TotalFund GMDB block (cols AY-BU, section 10.5); withdrawal benefits from GMWB withdrawal stream (col AS, section 10.4); surrender benefits from CSV release at lapse.</w:t>
      </w:r>
    </w:p>
    <w:p>
      <w:pPr>
        <w:pStyle w:val="ListParagraph"/>
        <w:numPr>
          <w:ilvl w:val="0"/>
          <w:numId w:val="2"/>
        </w:numPr>
        <w:spacing w:after="40" w:before="40"/>
      </w:pPr>
      <w:r>
        <w:rPr>
          <w:b/>
          <w:bCs/>
        </w:rPr>
        <w:t xml:space="preserve">Charges (rows 53-59):</w:t>
      </w:r>
      <w:r>
        <w:t xml:space="preserve"> M&amp;E from Calc_TotalFund!AV (GMWB Fee, section 10.2) and Calc_SepAcct charge streams; GMDB Charge from GMDB block; Rider Charge from GMWB Fee column combined with Calc_HaircutFactors adjustments (section 9.4).</w:t>
      </w:r>
    </w:p>
    <w:p>
      <w:pPr>
        <w:pStyle w:val="ListParagraph"/>
        <w:numPr>
          <w:ilvl w:val="0"/>
          <w:numId w:val="2"/>
        </w:numPr>
        <w:spacing w:after="40" w:before="40"/>
      </w:pPr>
      <w:r>
        <w:rPr>
          <w:b/>
          <w:bCs/>
        </w:rPr>
        <w:t xml:space="preserve">Inforce movement (rows 60-64):</w:t>
      </w:r>
      <w:r>
        <w:t xml:space="preserve"> Deaths from Calc_Lives!L (deaths CME-to-EOP, section 8.2); Lapses from Calc_Lives!N; Inforce from Calc_Lives!P (section 8).</w:t>
      </w:r>
    </w:p>
    <w:p>
      <w:pPr>
        <w:pStyle w:val="ListParagraph"/>
        <w:numPr>
          <w:ilvl w:val="0"/>
          <w:numId w:val="2"/>
        </w:numPr>
        <w:spacing w:after="40" w:before="40"/>
      </w:pPr>
      <w:r>
        <w:rPr>
          <w:b/>
          <w:bCs/>
        </w:rPr>
        <w:t xml:space="preserve">i4L / 4Later / GIB scalars (rows 65-83):</w:t>
      </w:r>
      <w:r>
        <w:t xml:space="preserve"> sourced from Calc_i4L (45 columns), documented in section 17 of Part 2.</w:t>
      </w:r>
    </w:p>
    <w:p>
      <w:pPr>
        <w:pStyle w:val="ListParagraph"/>
        <w:numPr>
          <w:ilvl w:val="0"/>
          <w:numId w:val="2"/>
        </w:numPr>
        <w:spacing w:after="40" w:before="40"/>
      </w:pPr>
      <w:r>
        <w:rPr>
          <w:b/>
          <w:bCs/>
        </w:rPr>
        <w:t xml:space="preserve">Reinsurance rows (rows 88-96):</w:t>
      </w:r>
      <w:r>
        <w:t xml:space="preserve"> sourced from the LNBar reinsurance treaty calculation columns in Calc_TotalFund (DB Reins Premium and WB Reins Premium from Policy_Info!C34/C35 feed a reinsurance cash-flow block; documented in section 13 of Part 2).</w:t>
      </w:r>
    </w:p>
    <w:p>
      <w:pPr>
        <w:pStyle w:val="Heading2"/>
        <w:spacing w:after="120" w:before="240"/>
      </w:pPr>
      <w:r>
        <w:rPr>
          <w:b/>
          <w:bCs/>
        </w:rPr>
        <w:t xml:space="preserve">21.4 AXIS DAC Recon Report</w:t>
      </w:r>
    </w:p>
    <w:p>
      <w:pPr>
        <w:pStyle w:val="Heading3"/>
        <w:spacing w:after="80" w:before="180"/>
      </w:pPr>
      <w:r>
        <w:rPr>
          <w:b/>
          <w:bCs/>
        </w:rPr>
        <w:t xml:space="preserve">21.4.1 Structure and output inventory</w:t>
      </w:r>
    </w:p>
    <w:p>
      <w:pPr>
        <w:spacing w:after="80" w:before="80"/>
      </w:pPr>
      <w:r>
        <w:t xml:space="preserve">The AXIS DAC Recon Report block occupies Report Mappings rows 4-6, columns K-M. Column K carries the output item description. Column L carries the Workbook Alias. Column M carries the row number (1, 2, 3 for the three listed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1440"/>
        <w:gridCol w:w="5280"/>
      </w:tblGrid>
      <w:tr>
        <w:trPr>
          <w:tblHeader/>
        </w:trP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Row # (col M)</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Description (col K)</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Workbook Alias (col L)</w:t>
            </w:r>
          </w:p>
        </w:tc>
        <w:tc>
          <w:tcPr>
            <w:tcW w:type="dxa" w:w="5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Source Engine and Cell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Period End - Amortization basis month end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Amort basis EOP</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Calc_DAC (18 columns) -- EOP amortization basis for the GAAP DAC calculation, sourced from Calc_TotalFund Total Fund output weighted by Calc_Lives!P (survivorship factor).</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Period End - Amortization base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Amort basis</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Calc_DAC -- aggregate amortization base (the DAC credit interest denominator), accumulated from the BOP balance plus additions less releases.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Period End - No of coverages - inforce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Lives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Calc_Lives!P (lives EOP, section 8.2) -- the survivorship factor at EOP used as the policy-count basis for DAC amortization.</w:t>
            </w:r>
          </w:p>
        </w:tc>
      </w:tr>
    </w:tbl>
    <w:p>
      <w:pPr>
        <w:pStyle w:val="Heading3"/>
        <w:spacing w:after="80" w:before="180"/>
      </w:pPr>
      <w:r>
        <w:rPr>
          <w:b/>
          <w:bCs/>
        </w:rPr>
        <w:t xml:space="preserve">21.4.2 DAC Recon usage and DAC_Amortization_Basis caveat</w:t>
      </w:r>
    </w:p>
    <w:p>
      <w:pPr>
        <w:spacing w:after="80" w:before="80"/>
      </w:pPr>
      <w:r>
        <w:t xml:space="preserve">The AXIS DAC Recon Report supports the GAAP LDTI DAC amortization reconciliation between the production AXIS model and this validation tool. The three items correspond to the three AXIS DAC Recon output slots that AXIS produces per policy per month. By aligning these three series between the validation tool and AXIS, the actuarial team can isolate DAC amortization discrepancies to either the lives basis (row 3) or the fund-amortization basis (rows 1-2). Calc_DAC (18 columns) implements the LDTI DAC amortization mechanics; that engine is documented in section 19 of Part 2.</w:t>
      </w:r>
    </w:p>
    <w:p>
      <w:pPr>
        <w:spacing w:after="80" w:before="80"/>
      </w:pPr>
      <w:r>
        <w:rPr>
          <w:b/>
          <w:bCs/>
        </w:rPr>
        <w:t xml:space="preserve">Note on DAC_Amortization_Basis #VALUE!:</w:t>
      </w:r>
      <w:r>
        <w:t xml:space="preserve"> Policy_Info!C107 (DAC_Amortization_Basis) returns #VALUE! in the test policy (per section 3.4 and section 24.2.4 below). This causes the Amort basis EOP and Amort basis row outputs to propagate #VALUE! through Calc_DAC. The implementer must resolve the C107 formula before the AXIS DAC Recon Report can be validated against AXIS output. See section 25.7 for the open question directed to the business owner.</w:t>
      </w:r>
    </w:p>
    <w:p>
      <w:r>
        <w:br w:type="page"/>
      </w:r>
    </w:p>
    <w:p>
      <w:pPr>
        <w:pStyle w:val="Heading1"/>
        <w:spacing w:after="180" w:before="360"/>
      </w:pPr>
      <w:r>
        <w:rPr>
          <w:b/>
          <w:bCs/>
        </w:rPr>
        <w:t xml:space="preserve">24. Edge Cases and Gotchas</w:t>
      </w:r>
    </w:p>
    <w:p>
      <w:pPr>
        <w:spacing w:after="80" w:before="80"/>
      </w:pPr>
      <w:r>
        <w:t xml:space="preserve">This section catalogues every known edge case, silent failure mode, and implementation trap in the workbook. Each item describes the triggering condition, the affected cell(s) or column(s), the observed behaviour in test policy 842612365, and the recommended implementation guard. Items are ordered by functional area.</w:t>
      </w:r>
    </w:p>
    <w:p>
      <w:pPr>
        <w:pStyle w:val="Heading2"/>
        <w:spacing w:after="120" w:before="240"/>
      </w:pPr>
      <w:r>
        <w:rPr>
          <w:b/>
          <w:bCs/>
        </w:rPr>
        <w:t xml:space="preserve">24.1 Configuration Switch Edge Cases</w:t>
      </w:r>
    </w:p>
    <w:p>
      <w:pPr>
        <w:pStyle w:val="Heading3"/>
        <w:spacing w:after="80" w:before="180"/>
      </w:pPr>
      <w:r>
        <w:rPr>
          <w:b/>
          <w:bCs/>
        </w:rPr>
        <w:t xml:space="preserve">24.1.1 StdScn_Number = 1 vs 2 (Configuration!C5)</w:t>
      </w:r>
    </w:p>
    <w:p>
      <w:pPr>
        <w:spacing w:after="80" w:before="80"/>
      </w:pPr>
      <w:r>
        <w:rPr>
          <w:b/>
          <w:bCs/>
        </w:rPr>
        <w:t xml:space="preserve">Triggering condition:</w:t>
      </w:r>
      <w:r>
        <w:t xml:space="preserve"> Reserve_Basis = NYREG213 AND Reserve_Method = Std Scn. Only then does Configuration!C5 (StdScn_Number) govern which Paste tab feeds Calc_StdScn_ANR. Both tabs are 1,010 x 43 with identical column structure (section 20.2.1), so the selection is a column-for-column substitution.</w:t>
      </w:r>
    </w:p>
    <w:p>
      <w:pPr>
        <w:spacing w:after="80" w:before="80"/>
      </w:pPr>
      <w:r>
        <w:rPr>
          <w:b/>
          <w:bCs/>
        </w:rPr>
        <w:t xml:space="preserve">Observed in test policy:</w:t>
      </w:r>
      <w:r>
        <w:t xml:space="preserve"> StdScn_Number = 1, Reserve_Basis = VM21PA, Reserve_Method = Std Scn. The C5 switch has no effect in the test-policy state because Reserve_Basis is not NYREG213.</w:t>
      </w:r>
    </w:p>
    <w:p>
      <w:pPr>
        <w:spacing w:after="80" w:before="80"/>
      </w:pPr>
      <w:r>
        <w:rPr>
          <w:b/>
          <w:bCs/>
        </w:rPr>
        <w:t xml:space="preserve">Implementation guard:</w:t>
      </w:r>
      <w:r>
        <w:t xml:space="preserve"> validate that StdScn_Number is in {1, 2} before allowing the NYREG213 Std Scn calculation to proceed. An out-of-range value produces an IFERROR or #N/A in Calc_StdScn_ANR. Also confirm that Paste_StdScn2 has been refreshed from an AXIS run whenever StdScn_Number = 2 is selected -- stale Paste_StdScn2 data with a live StdScn_Number = 2 is the most common silent error in NYREG213 validations.</w:t>
      </w:r>
    </w:p>
    <w:p>
      <w:pPr>
        <w:pStyle w:val="Heading3"/>
        <w:spacing w:after="80" w:before="180"/>
      </w:pPr>
      <w:r>
        <w:rPr>
          <w:b/>
          <w:bCs/>
        </w:rPr>
        <w:t xml:space="preserve">24.1.2 PartialWithdrawals_Indicator and CARVM-PW vs CARVM-NoPW (Configuration!C7)</w:t>
      </w:r>
    </w:p>
    <w:p>
      <w:pPr>
        <w:spacing w:after="80" w:before="80"/>
      </w:pPr>
      <w:r>
        <w:rPr>
          <w:b/>
          <w:bCs/>
        </w:rPr>
        <w:t xml:space="preserve">Triggering condition:</w:t>
      </w:r>
      <w:r>
        <w:t xml:space="preserve"> Reserve_Method = CARVM. Configuration!C7 (PartialWithdrawals_Indicator) = TRUE routes Calc_CARVM to Paste_CARVM_PW; FALSE routes to Paste_CARVM_NoPW. This switch also gates the PW stream in Calc_TotalFund!CK (section 10.3).</w:t>
      </w:r>
    </w:p>
    <w:p>
      <w:pPr>
        <w:spacing w:after="80" w:before="80"/>
      </w:pPr>
      <w:r>
        <w:rPr>
          <w:b/>
          <w:bCs/>
        </w:rPr>
        <w:t xml:space="preserve">Observed in test policy:</w:t>
      </w:r>
      <w:r>
        <w:t xml:space="preserve"> PartialWithdrawals_Indicator = TRUE; Reserve_Method = Std Scn (not CARVM). The switch is dormant.</w:t>
      </w:r>
    </w:p>
    <w:p>
      <w:pPr>
        <w:spacing w:after="80" w:before="80"/>
      </w:pPr>
      <w:r>
        <w:rPr>
          <w:b/>
          <w:bCs/>
        </w:rPr>
        <w:t xml:space="preserve">Implementation guard:</w:t>
      </w:r>
      <w:r>
        <w:t xml:space="preserve"> confirm that both CARVM paste tabs contain freshly pasted data from the same AXIS run before toggling this switch. An inconsistency between the PW and NoPW tabs (different discount-factor columns) produces a greatest-PV comparison error in Calc_CARVM column 21.</w:t>
      </w:r>
    </w:p>
    <w:p>
      <w:pPr>
        <w:pStyle w:val="Heading3"/>
        <w:spacing w:after="80" w:before="180"/>
      </w:pPr>
      <w:r>
        <w:rPr>
          <w:b/>
          <w:bCs/>
        </w:rPr>
        <w:t xml:space="preserve">24.1.3 Rate Shock -- only 'Base' observed (Configuration!C17)</w:t>
      </w:r>
    </w:p>
    <w:p>
      <w:pPr>
        <w:spacing w:after="80" w:before="80"/>
      </w:pPr>
      <w:r>
        <w:rPr>
          <w:b/>
          <w:bCs/>
        </w:rPr>
        <w:t xml:space="preserve">Triggering condition:</w:t>
      </w:r>
      <w:r>
        <w:t xml:space="preserve"> Configuration!C17 carries a data-validation list {Base, +50bps, -50bps, +100bps, -100bps} per section 2.2. Only 'Base' is present in the test policy. The Rate Shock vector is flagged as future-use in section 2.2 and no consumer formula branching on Configuration!C17 has been identified in the test-policy calc tabs.</w:t>
      </w:r>
    </w:p>
    <w:p>
      <w:pPr>
        <w:spacing w:after="80" w:before="80"/>
      </w:pPr>
      <w:r>
        <w:t xml:space="preserve">[DUMMY_RATE_SHOCK_PLUS50], [DUMMY_RATE_SHOCK_MINUS50], [DUMMY_RATE_SHOCK_PLUS100], [DUMMY_RATE_SHOCK_MINUS100] -- the four non-Base paths are unconfirmed and must not be wired until the business owner confirms the shock-vector consumer logic (section 25.4).</w:t>
      </w:r>
    </w:p>
    <w:p>
      <w:pPr>
        <w:pStyle w:val="Heading3"/>
        <w:spacing w:after="80" w:before="180"/>
      </w:pPr>
      <w:r>
        <w:rPr>
          <w:b/>
          <w:bCs/>
        </w:rPr>
        <w:t xml:space="preserve">24.1.4 GMWB and GMDB Compression Adj (Configuration!C13 / C14)</w:t>
      </w:r>
    </w:p>
    <w:p>
      <w:pPr>
        <w:spacing w:after="80" w:before="80"/>
      </w:pPr>
      <w:r>
        <w:rPr>
          <w:b/>
          <w:bCs/>
        </w:rPr>
        <w:t xml:space="preserve">Triggering condition:</w:t>
      </w:r>
      <w:r>
        <w:t xml:space="preserve"> Configuration!C14 (GMDB Compression Adj) != 0 multiplicatively scales seed Guar Fund balances at Policy_Info!T19, T22, T24, T26. Configuration!C13 (GMWB Compression Adj) is flagged for future activation when the GMWB benefit-base seasoning algorithm is updated. Both are 0 in the test policy.</w:t>
      </w:r>
    </w:p>
    <w:p>
      <w:pPr>
        <w:spacing w:after="80" w:before="80"/>
      </w:pPr>
      <w:r>
        <w:rPr>
          <w:b/>
          <w:bCs/>
        </w:rPr>
        <w:t xml:space="preserve">Implementation guard:</w:t>
      </w:r>
      <w:r>
        <w:t xml:space="preserve"> wire as SeedGMDB = RawInput x (1 + C14). At C14 = 0, the seed equals the raw input. C13 is a no-op until the GMWB seasoning algorithm is activated (section 25.5).</w:t>
      </w:r>
    </w:p>
    <w:p>
      <w:pPr>
        <w:pStyle w:val="Heading3"/>
        <w:spacing w:after="80" w:before="180"/>
      </w:pPr>
      <w:r>
        <w:rPr>
          <w:b/>
          <w:bCs/>
        </w:rPr>
        <w:t xml:space="preserve">24.1.5 GMWB Utilization Adj toggle (Configuration!C15)</w:t>
      </w:r>
    </w:p>
    <w:p>
      <w:pPr>
        <w:spacing w:after="80" w:before="80"/>
      </w:pPr>
      <w:r>
        <w:rPr>
          <w:b/>
          <w:bCs/>
        </w:rPr>
        <w:t xml:space="preserve">Triggering condition:</w:t>
      </w:r>
      <w:r>
        <w:t xml:space="preserve"> Configuration!C15 = FALSE is documented to drop the haircut on GMWB exercise. Currently TRUE in the test policy.</w:t>
      </w:r>
    </w:p>
    <w:p>
      <w:pPr>
        <w:spacing w:after="80" w:before="80"/>
      </w:pPr>
      <w:r>
        <w:rPr>
          <w:b/>
          <w:bCs/>
        </w:rPr>
        <w:t xml:space="preserve">Implementation guard:</w:t>
      </w:r>
      <w:r>
        <w:t xml:space="preserve"> the exact suppression formula at the Calc_TotalFund consumption point (cols CO-CR) must be verified because the test policy has C15 = TRUE. The FALSE branch is [DUMMY_UTILIZATION_ADJ_FALSE] until confirmed by the business owner.</w:t>
      </w:r>
    </w:p>
    <w:p>
      <w:pPr>
        <w:pStyle w:val="Heading3"/>
        <w:spacing w:after="80" w:before="180"/>
      </w:pPr>
      <w:r>
        <w:rPr>
          <w:b/>
          <w:bCs/>
        </w:rPr>
        <w:t xml:space="preserve">24.1.6 Include NH Benefit toggle (Configuration!C16)</w:t>
      </w:r>
    </w:p>
    <w:p>
      <w:pPr>
        <w:spacing w:after="80" w:before="80"/>
      </w:pPr>
      <w:r>
        <w:rPr>
          <w:b/>
          <w:bCs/>
        </w:rPr>
        <w:t xml:space="preserve">Triggering condition:</w:t>
      </w:r>
      <w:r>
        <w:t xml:space="preserve"> Configuration!C16 = TRUE includes the Nursing Home enhancement in the GMWB max benefit base (Calc_TotalFund!AN/AO/AP, section 10.4). Currently TRUE in the test policy.</w:t>
      </w:r>
    </w:p>
    <w:p>
      <w:pPr>
        <w:spacing w:after="80" w:before="80"/>
      </w:pPr>
      <w:r>
        <w:rPr>
          <w:b/>
          <w:bCs/>
        </w:rPr>
        <w:t xml:space="preserve">Implementation guard:</w:t>
      </w:r>
      <w:r>
        <w:t xml:space="preserve"> when C16 = FALSE, the NH enhancement block should produce 0 and the NH Pop Pct weighting in the Haircut engine (section 9.5) should collapse to 100% non-NH. Confirm the NH suppression formula is IF(Configuration!$C$16, NH_value, 0) at Calc_TotalFund!AO9 or equivalent.</w:t>
      </w:r>
    </w:p>
    <w:p>
      <w:pPr>
        <w:pStyle w:val="Heading3"/>
        <w:spacing w:after="80" w:before="180"/>
      </w:pPr>
      <w:r>
        <w:rPr>
          <w:b/>
          <w:bCs/>
        </w:rPr>
        <w:t xml:space="preserve">24.1.7 Reserve_Basis = NYREG213 with Company = LNL (invalid combination)</w:t>
      </w:r>
    </w:p>
    <w:p>
      <w:pPr>
        <w:spacing w:after="80" w:before="80"/>
      </w:pPr>
      <w:r>
        <w:rPr>
          <w:b/>
          <w:bCs/>
        </w:rPr>
        <w:t xml:space="preserve">Triggering condition:</w:t>
      </w:r>
      <w:r>
        <w:t xml:space="preserve"> Reserve_Basis = NYREG213 AND Policy_Info!C16 = LNL. Policy_Info!P31 returns 'N/A' when Company = LNL (section 2.3.1), but downstream engines still execute and may produce undefined results.</w:t>
      </w:r>
    </w:p>
    <w:p>
      <w:pPr>
        <w:spacing w:after="80" w:before="80"/>
      </w:pPr>
      <w:r>
        <w:rPr>
          <w:b/>
          <w:bCs/>
        </w:rPr>
        <w:t xml:space="preserve">Implementation guard:</w:t>
      </w:r>
      <w:r>
        <w:t xml:space="preserve"> add a configuration validation: if Reserve_Basis = NYREG213 AND Company = LNL, raise an error and halt. Do not rely solely on P31 = 'N/A' propagation to protect all paths.</w:t>
      </w:r>
    </w:p>
    <w:p>
      <w:pPr>
        <w:pStyle w:val="Heading3"/>
        <w:spacing w:after="80" w:before="180"/>
      </w:pPr>
      <w:r>
        <w:rPr>
          <w:b/>
          <w:bCs/>
        </w:rPr>
        <w:t xml:space="preserve">24.1.8 Reserve_Method = CARVM with Reserve_Basis = VM21CA or VM21PA (invalid combination)</w:t>
      </w:r>
    </w:p>
    <w:p>
      <w:pPr>
        <w:spacing w:after="80" w:before="80"/>
      </w:pPr>
      <w:r>
        <w:rPr>
          <w:b/>
          <w:bCs/>
        </w:rPr>
        <w:t xml:space="preserve">Triggering condition:</w:t>
      </w:r>
      <w:r>
        <w:t xml:space="preserve"> CARVM is a NYREG213-specific concept in this model (section 1.3). Using Reserve_Method = CARVM with Reserve_Basis = VM21CA or VM21PA causes several cells to produce nonsense results (per section 2.5).</w:t>
      </w:r>
    </w:p>
    <w:p>
      <w:pPr>
        <w:spacing w:after="80" w:before="80"/>
      </w:pPr>
      <w:r>
        <w:rPr>
          <w:b/>
          <w:bCs/>
        </w:rPr>
        <w:t xml:space="preserve">Implementation guard:</w:t>
      </w:r>
      <w:r>
        <w:t xml:space="preserve"> hard-block in the target system: if Reserve_Method = CARVM then Reserve_Basis must = NYREG213. All other combinations are [DUMMY_CARVM_NON_NY].</w:t>
      </w:r>
    </w:p>
    <w:p>
      <w:pPr>
        <w:pStyle w:val="Heading2"/>
        <w:spacing w:after="120" w:before="240"/>
      </w:pPr>
      <w:r>
        <w:rPr>
          <w:b/>
          <w:bCs/>
        </w:rPr>
        <w:t xml:space="preserve">24.2 Policy Data Ingestion Edge Cases</w:t>
      </w:r>
    </w:p>
    <w:p>
      <w:pPr>
        <w:pStyle w:val="Heading3"/>
        <w:spacing w:after="80" w:before="180"/>
      </w:pPr>
      <w:r>
        <w:rPr>
          <w:b/>
          <w:bCs/>
        </w:rPr>
        <w:t xml:space="preserve">24.2.1 Cohort Type rule -- grouped vs ungrouped</w:t>
      </w:r>
    </w:p>
    <w:p>
      <w:pPr>
        <w:spacing w:after="80" w:before="80"/>
      </w:pPr>
      <w:r>
        <w:rPr>
          <w:b/>
          <w:bCs/>
        </w:rPr>
        <w:t xml:space="preserve">Rule (Policy_Info!C19):</w:t>
      </w:r>
    </w:p>
    <w:p>
      <w:pPr>
        <w:pBdr>
          <w:left w:val="single" w:color="888888" w:sz="6"/>
        </w:pBdr>
        <w:shd w:fill="F2F2F2" w:val="clear"/>
        <w:spacing w:after="60" w:before="60"/>
        <w:ind w:left="720"/>
      </w:pPr>
      <w:r>
        <w:rPr>
          <w:rFonts w:ascii="Courier New" w:cs="Courier New" w:eastAsia="Courier New" w:hAnsi="Courier New"/>
          <w:sz w:val="18"/>
          <w:szCs w:val="18"/>
        </w:rPr>
        <w:t xml:space="preserve">Cohort Type = IF(LB_Code IN {B, C, D},</w:t>
      </w:r>
    </w:p>
    <w:p>
      <w:pPr>
        <w:pBdr>
          <w:left w:val="single" w:color="888888" w:sz="6"/>
        </w:pBdr>
        <w:shd w:fill="F2F2F2" w:val="clear"/>
        <w:spacing w:after="60" w:before="60"/>
        <w:ind w:left="720"/>
      </w:pPr>
      <w:r>
        <w:rPr>
          <w:rFonts w:ascii="Courier New" w:cs="Courier New" w:eastAsia="Courier New" w:hAnsi="Courier New"/>
          <w:sz w:val="18"/>
          <w:szCs w:val="18"/>
        </w:rPr>
        <w:t xml:space="preserve">                 Cohort_Type_Ungrouped,</w:t>
      </w:r>
    </w:p>
    <w:p>
      <w:pPr>
        <w:pBdr>
          <w:left w:val="single" w:color="888888" w:sz="6"/>
        </w:pBdr>
        <w:shd w:fill="F2F2F2" w:val="clear"/>
        <w:spacing w:after="60" w:before="60"/>
        <w:ind w:left="720"/>
      </w:pPr>
      <w:r>
        <w:rPr>
          <w:rFonts w:ascii="Courier New" w:cs="Courier New" w:eastAsia="Courier New" w:hAnsi="Courier New"/>
          <w:sz w:val="18"/>
          <w:szCs w:val="18"/>
        </w:rPr>
        <w:t xml:space="preserve">                 IF(LTD_Withdrawals = 0, Cohort_Type_Ungrouped,</w:t>
      </w:r>
    </w:p>
    <w:p>
      <w:pPr>
        <w:pBdr>
          <w:left w:val="single" w:color="888888" w:sz="6"/>
        </w:pBdr>
        <w:shd w:fill="F2F2F2" w:val="clear"/>
        <w:spacing w:after="60" w:before="60"/>
        <w:ind w:left="720"/>
      </w:pPr>
      <w:r>
        <w:rPr>
          <w:rFonts w:ascii="Courier New" w:cs="Courier New" w:eastAsia="Courier New" w:hAnsi="Courier New"/>
          <w:sz w:val="18"/>
          <w:szCs w:val="18"/>
        </w:rPr>
        <w:t xml:space="preserve">                                         Cohort_Type_Grouped))</w:t>
      </w:r>
    </w:p>
    <w:p>
      <w:pPr>
        <w:spacing w:after="80" w:before="80"/>
      </w:pPr>
      <w:r>
        <w:rPr>
          <w:b/>
          <w:bCs/>
        </w:rPr>
        <w:t xml:space="preserve">Plain language:</w:t>
      </w:r>
      <w:r>
        <w:t xml:space="preserve"> LB Codes B, C, and D always use the ungrouped cohort type regardless of lifetime withdrawal history. For all other LB Codes, the cohort type is ungrouped if LTD_Withdrawals = 0 and grouped if LTD_Withdrawals &gt; 0. The grouped/ungrouped distinction governs the GMWB utilization start-age lookup (Assumptions_Extracted sheet All_GMWB_Utilization_StartAge, consumed at Policy_Info!Y36 = WBStart_AttAge).</w:t>
      </w:r>
    </w:p>
    <w:p>
      <w:pPr>
        <w:spacing w:after="80" w:before="80"/>
      </w:pPr>
      <w:r>
        <w:rPr>
          <w:b/>
          <w:bCs/>
        </w:rPr>
        <w:t xml:space="preserve">Implementation guard:</w:t>
      </w:r>
      <w:r>
        <w:t xml:space="preserve"> a mismatch in the grouped/ungrouped assignment shifts WBStart_AttAge, which misclassifies the pre-WB vs post-WB lapse regime for all 1,209 projection months.</w:t>
      </w:r>
    </w:p>
    <w:p>
      <w:pPr>
        <w:pStyle w:val="Heading3"/>
        <w:spacing w:after="80" w:before="180"/>
      </w:pPr>
      <w:r>
        <w:rPr>
          <w:b/>
          <w:bCs/>
        </w:rPr>
        <w:t xml:space="preserve">24.2.2 Joint-life with 2nd-life Issue Age = 0 -- single-life fallback</w:t>
      </w:r>
    </w:p>
    <w:p>
      <w:pPr>
        <w:spacing w:after="80" w:before="80"/>
      </w:pPr>
      <w:r>
        <w:rPr>
          <w:b/>
          <w:bCs/>
        </w:rPr>
        <w:t xml:space="preserve">Triggering condition:</w:t>
      </w:r>
      <w:r>
        <w:t xml:space="preserve"> Policy_Info!C14 = 'J' (joint life) AND Policy_Info!C48 (Issue Age 2nd Life) = 0. Policy_Info!T14 (joint-life attained age 2, section 5.2) would compute an attained age approximately equal to (ValuationYear - IssueYear), which is nonsensical if the intent is a single-life policy incorrectly flagged as 'J'.</w:t>
      </w:r>
    </w:p>
    <w:p>
      <w:pPr>
        <w:spacing w:after="80" w:before="80"/>
      </w:pPr>
      <w:r>
        <w:rPr>
          <w:b/>
          <w:bCs/>
        </w:rPr>
        <w:t xml:space="preserve">Implementation guard:</w:t>
      </w:r>
      <w:r>
        <w:t xml:space="preserve"> if Single_or_Joint = 'J' AND IssueAge_2ndLife = 0, treat as single-life ('S') and log a data quality warning. The test policy is single-life (C14 = 'S'); this guard applies to cohort members with data quality issues.</w:t>
      </w:r>
    </w:p>
    <w:p>
      <w:pPr>
        <w:pStyle w:val="Heading3"/>
        <w:spacing w:after="80" w:before="180"/>
      </w:pPr>
      <w:r>
        <w:rPr>
          <w:b/>
          <w:bCs/>
        </w:rPr>
        <w:t xml:space="preserve">24.2.3 Masked fields -- i4L AIR returning #N/A</w:t>
      </w:r>
    </w:p>
    <w:p>
      <w:pPr>
        <w:spacing w:after="80" w:before="80"/>
      </w:pPr>
      <w:r>
        <w:rPr>
          <w:b/>
          <w:bCs/>
        </w:rPr>
        <w:t xml:space="preserve">Triggering condition:</w:t>
      </w:r>
      <w:r>
        <w:t xml:space="preserve"> Policy_Info cells for i4L AIR and i4L AIR 2 contain #N/A in the test policy. The INDEX/MATCH formula fails to find the column header in Input_PolicyDataRaw!$3:$3 -- the field may be absent from the SQL extract schema for non-i4L policies or may be masked.</w:t>
      </w:r>
    </w:p>
    <w:p>
      <w:pPr>
        <w:spacing w:after="80" w:before="80"/>
      </w:pPr>
      <w:r>
        <w:rPr>
          <w:b/>
          <w:bCs/>
        </w:rPr>
        <w:t xml:space="preserve">Observed in test policy:</w:t>
      </w:r>
      <w:r>
        <w:t xml:space="preserve"> i4L_Indicator = '___' (non-i4L per section 3.4); Calc_i4L is dormant and the #N/A is inconsequential. For an i4L test policy, this #N/A would disable the entire Calc_i4L engine.</w:t>
      </w:r>
    </w:p>
    <w:p>
      <w:pPr>
        <w:spacing w:after="80" w:before="80"/>
      </w:pPr>
      <w:r>
        <w:rPr>
          <w:b/>
          <w:bCs/>
        </w:rPr>
        <w:t xml:space="preserve">Implementation guard:</w:t>
      </w:r>
      <w:r>
        <w:t xml:space="preserve"> add an IFERROR wrapper to the i4L AIR input cell at Policy_Info that returns 0 or a documented default rather than propagating #N/A. See section 25.6.</w:t>
      </w:r>
    </w:p>
    <w:p>
      <w:pPr>
        <w:pStyle w:val="Heading3"/>
        <w:spacing w:after="80" w:before="180"/>
      </w:pPr>
      <w:r>
        <w:rPr>
          <w:b/>
          <w:bCs/>
        </w:rPr>
        <w:t xml:space="preserve">24.2.4 DAC Amortization Basis #VALUE! error (Policy_Info!C107)</w:t>
      </w:r>
    </w:p>
    <w:p>
      <w:pPr>
        <w:spacing w:after="80" w:before="80"/>
      </w:pPr>
      <w:r>
        <w:rPr>
          <w:b/>
          <w:bCs/>
        </w:rPr>
        <w:t xml:space="preserve">Triggering condition:</w:t>
      </w:r>
      <w:r>
        <w:t xml:space="preserve"> Policy_Info!C107 = LEFT(E107, 8) returns #VALUE! when E107 returns a numeric value that cannot be coerced by LEFT(). The 'DAC Amortization Basis' SQL field may carry a numeric rather than text value.</w:t>
      </w:r>
    </w:p>
    <w:p>
      <w:pPr>
        <w:spacing w:after="80" w:before="80"/>
      </w:pPr>
      <w:r>
        <w:rPr>
          <w:b/>
          <w:bCs/>
        </w:rPr>
        <w:t xml:space="preserve">Affected cells:</w:t>
      </w:r>
      <w:r>
        <w:t xml:space="preserve"> Calc_DAC (all 18 columns) and the AXIS DAC Recon Report (section 21.4.2). The #VALUE! disables the entire GAAP LDTI DAC amortization calculation for the test policy.</w:t>
      </w:r>
    </w:p>
    <w:p>
      <w:pPr>
        <w:spacing w:after="80" w:before="80"/>
      </w:pPr>
      <w:r>
        <w:rPr>
          <w:b/>
          <w:bCs/>
        </w:rPr>
        <w:t xml:space="preserve">Implementation guard:</w:t>
      </w:r>
      <w:r>
        <w:t xml:space="preserve"> investigate the data type of the 'DAC Amortization Basis' SQL field. If numeric, the LEFT() coercion is inappropriate; the formula should use TEXT() or a direct cell reference. See section 25.7.</w:t>
      </w:r>
    </w:p>
    <w:p>
      <w:pPr>
        <w:pStyle w:val="Heading3"/>
        <w:spacing w:after="80" w:before="180"/>
      </w:pPr>
      <w:r>
        <w:rPr>
          <w:b/>
          <w:bCs/>
        </w:rPr>
        <w:t xml:space="preserve">24.2.5 AL30R-family pre/post 7/11/2011 SC schedule split</w:t>
      </w:r>
    </w:p>
    <w:p>
      <w:pPr>
        <w:spacing w:after="80" w:before="80"/>
      </w:pPr>
      <w:r>
        <w:rPr>
          <w:b/>
          <w:bCs/>
        </w:rPr>
        <w:t xml:space="preserve">Triggering condition:</w:t>
      </w:r>
      <w:r>
        <w:t xml:space="preserve"> Plan IN {AL30R1, AL30R2, AL30R3} AND Policy_Info!L42 = 'Y' (SC issue-date-split indicator from Seriatim Keys, section 3.5). Policy_Info!H23 (SC Lookup Key) = L39 &amp; IF(L42='Y', '\' &amp; L44, '') where L44 = IF(issue date &lt; DATE(2011,7,11), 'Pre\7-11-2011', 'Post\7-11-2011').</w:t>
      </w:r>
    </w:p>
    <w:p>
      <w:pPr>
        <w:spacing w:after="80" w:before="80"/>
      </w:pPr>
      <w:r>
        <w:rPr>
          <w:b/>
          <w:bCs/>
        </w:rPr>
        <w:t xml:space="preserve">Observed in test policy:</w:t>
      </w:r>
      <w:r>
        <w:t xml:space="preserve"> Plan = LMFR5, not AL30R family; L42 = 'N'; split is dormant. [DUMMY_AL30R_PRE_2011] and [DUMMY_AL30R_POST_2011] branches should be wired before validating any AL30R policy.</w:t>
      </w:r>
    </w:p>
    <w:p>
      <w:pPr>
        <w:spacing w:after="80" w:before="80"/>
      </w:pPr>
      <w:r>
        <w:rPr>
          <w:b/>
          <w:bCs/>
        </w:rPr>
        <w:t xml:space="preserve">Implementation guard:</w:t>
      </w:r>
      <w:r>
        <w:t xml:space="preserve"> preserve the exact 2011-07-11 cutoff as DATE(2011,7,11) (a numeric serial number in Excel). A string comparison would fail on non-US date formats.</w:t>
      </w:r>
    </w:p>
    <w:p>
      <w:pPr>
        <w:pStyle w:val="Heading3"/>
        <w:spacing w:after="80" w:before="180"/>
      </w:pPr>
      <w:r>
        <w:rPr>
          <w:b/>
          <w:bCs/>
        </w:rPr>
        <w:t xml:space="preserve">24.2.6 IFERROR cascade in Policy_Info!L52 (IMF NRSI lookup)</w:t>
      </w:r>
    </w:p>
    <w:p>
      <w:pPr>
        <w:pBdr>
          <w:left w:val="single" w:color="888888" w:sz="6"/>
        </w:pBdr>
        <w:shd w:fill="F2F2F2" w:val="clear"/>
        <w:spacing w:after="60" w:before="60"/>
        <w:ind w:left="720"/>
      </w:pPr>
      <w:r>
        <w:rPr>
          <w:rFonts w:ascii="Courier New" w:cs="Courier New" w:eastAsia="Courier New" w:hAnsi="Courier New"/>
          <w:sz w:val="18"/>
          <w:szCs w:val="18"/>
        </w:rPr>
        <w:t xml:space="preserve">=IFERROR(INDEX('IMF NRSI (Other)'!$F:$F, MATCH(H29,'IMF NRSI (Other)'!$B:$B,0),1),</w:t>
      </w:r>
    </w:p>
    <w:p>
      <w:pPr>
        <w:pBdr>
          <w:left w:val="single" w:color="888888" w:sz="6"/>
        </w:pBdr>
        <w:shd w:fill="F2F2F2" w:val="clear"/>
        <w:spacing w:after="60" w:before="60"/>
        <w:ind w:left="720"/>
      </w:pPr>
      <w:r>
        <w:rPr>
          <w:rFonts w:ascii="Courier New" w:cs="Courier New" w:eastAsia="Courier New" w:hAnsi="Courier New"/>
          <w:sz w:val="18"/>
          <w:szCs w:val="18"/>
        </w:rPr>
        <w:t xml:space="preserve">         INDEX('IMF NRSI (AL CP)'!$H:$H, MATCH(H29,'IMF NRSI (AL CP)'!$A:$A,0),1))</w:t>
      </w:r>
    </w:p>
    <w:p>
      <w:pPr>
        <w:spacing w:after="80" w:before="80"/>
      </w:pPr>
      <w:r>
        <w:rPr>
          <w:b/>
          <w:bCs/>
        </w:rPr>
        <w:t xml:space="preserve">Gotcha:</w:t>
      </w:r>
      <w:r>
        <w:t xml:space="preserve"> if the IMF Lookup Key H29 is found in IMF NRSI (Other) but with an incorrect rate (e.g., a plan code collision between blocks), the IFERROR masks the error silently. In target-system code, implement the two-table lookup as an explicit try-first / try-second with a logged warning rather than a silent IFERROR, so table misses are visible in audit logs.</w:t>
      </w:r>
    </w:p>
    <w:p>
      <w:pPr>
        <w:pStyle w:val="Heading2"/>
        <w:spacing w:after="120" w:before="240"/>
      </w:pPr>
      <w:r>
        <w:rPr>
          <w:b/>
          <w:bCs/>
        </w:rPr>
        <w:t xml:space="preserve">24.3 Mortality Engine Edge Cases</w:t>
      </w:r>
    </w:p>
    <w:p>
      <w:pPr>
        <w:pStyle w:val="Heading3"/>
        <w:spacing w:after="80" w:before="180"/>
      </w:pPr>
      <w:r>
        <w:rPr>
          <w:b/>
          <w:bCs/>
        </w:rPr>
        <w:t xml:space="preserve">24.3.1 Mortality improvement suppressed to zero for NYREG213 CARVM pre-2015</w:t>
      </w:r>
    </w:p>
    <w:p>
      <w:pPr>
        <w:spacing w:after="80" w:before="80"/>
      </w:pPr>
      <w:r>
        <w:t xml:space="preserve">When Reserve_Basis = NYREG213 AND Reserve_Method = CARVM AND IssueYear &lt; 2015, Calc_Mortality!I6 = 1900 (the pre-2015 era sentinel). The improvement scale is forced to zero in Calc_Mortality!K10:</w:t>
      </w:r>
    </w:p>
    <w:p>
      <w:pPr>
        <w:pBdr>
          <w:left w:val="single" w:color="888888" w:sz="6"/>
        </w:pBdr>
        <w:shd w:fill="F2F2F2" w:val="clear"/>
        <w:spacing w:after="60" w:before="60"/>
        <w:ind w:left="720"/>
      </w:pPr>
      <w:r>
        <w:rPr>
          <w:rFonts w:ascii="Courier New" w:cs="Courier New" w:eastAsia="Courier New" w:hAnsi="Courier New"/>
          <w:sz w:val="18"/>
          <w:szCs w:val="18"/>
        </w:rPr>
        <w:t xml:space="preserve">IF(AND(Reserve_Method="CARVM", $I$6&lt;2015), 0,</w:t>
      </w:r>
    </w:p>
    <w:p>
      <w:pPr>
        <w:pBdr>
          <w:left w:val="single" w:color="888888" w:sz="6"/>
        </w:pBdr>
        <w:shd w:fill="F2F2F2" w:val="clear"/>
        <w:spacing w:after="60" w:before="60"/>
        <w:ind w:left="720"/>
      </w:pPr>
      <w:r>
        <w:rPr>
          <w:rFonts w:ascii="Courier New" w:cs="Courier New" w:eastAsia="Courier New" w:hAnsi="Courier New"/>
          <w:sz w:val="18"/>
          <w:szCs w:val="18"/>
        </w:rPr>
        <w:t xml:space="preserve">   INDEX(Assumptions!$VS$7:$VV$126, MATCH(MIN(120,$H10),</w:t>
      </w:r>
    </w:p>
    <w:p>
      <w:pPr>
        <w:pBdr>
          <w:left w:val="single" w:color="888888" w:sz="6"/>
        </w:pBdr>
        <w:shd w:fill="F2F2F2" w:val="clear"/>
        <w:spacing w:after="60" w:before="60"/>
        <w:ind w:left="720"/>
      </w:pPr>
      <w:r>
        <w:rPr>
          <w:rFonts w:ascii="Courier New" w:cs="Courier New" w:eastAsia="Courier New" w:hAnsi="Courier New"/>
          <w:sz w:val="18"/>
          <w:szCs w:val="18"/>
        </w:rPr>
        <w:t xml:space="preserve">          Assumptions!$VR$7:$VR$126,0), K$8))</w:t>
      </w:r>
    </w:p>
    <w:p>
      <w:pPr>
        <w:spacing w:after="80" w:before="80"/>
      </w:pPr>
      <w:r>
        <w:rPr>
          <w:b/>
          <w:bCs/>
        </w:rPr>
        <w:t xml:space="preserve">Plain language:</w:t>
      </w:r>
      <w:r>
        <w:t xml:space="preserve"> for NYREG213 CARVM policies issued before 2015, the mortality improvement scale is forced to zero. The 1900 sentinel is a local convention within the mortality engine; never pass it as an actual issue year outside Calc_Mortality.</w:t>
      </w:r>
    </w:p>
    <w:p>
      <w:pPr>
        <w:pStyle w:val="Heading3"/>
        <w:spacing w:after="80" w:before="180"/>
      </w:pPr>
      <w:r>
        <w:rPr>
          <w:b/>
          <w:bCs/>
        </w:rPr>
        <w:t xml:space="preserve">24.3.2 Mort Group RS vs RP -- sub-table column selection</w:t>
      </w:r>
    </w:p>
    <w:p>
      <w:pPr>
        <w:spacing w:after="80" w:before="80"/>
      </w:pPr>
      <w:r>
        <w:rPr>
          <w:b/>
          <w:bCs/>
        </w:rPr>
        <w:t xml:space="preserve">Triggering condition:</w:t>
      </w:r>
      <w:r>
        <w:t xml:space="preserve"> Input_PolicyDataRaw field 'Mort Group' carries RP for the test policy. RS and RP both route to the single-life mortality table branch in Calc_Mortality!I10 but may select different sub-table columns via the $I$8 MATCH. The exact semantic difference between RS and RP has not been fully documented in the source workbook.</w:t>
      </w:r>
    </w:p>
    <w:p>
      <w:pPr>
        <w:spacing w:after="80" w:before="80"/>
      </w:pPr>
      <w:r>
        <w:t xml:space="preserve">[DUMMY_MORT_GROUP_RS] -- this branch must be confirmed with the business owner (section 25.3) before any RS-policy test case is validated.</w:t>
      </w:r>
    </w:p>
    <w:p>
      <w:pPr>
        <w:pStyle w:val="Heading2"/>
        <w:spacing w:after="120" w:before="240"/>
      </w:pPr>
      <w:r>
        <w:rPr>
          <w:b/>
          <w:bCs/>
        </w:rPr>
        <w:t xml:space="preserve">24.4 Lapse Engine Edge Cases</w:t>
      </w:r>
    </w:p>
    <w:p>
      <w:pPr>
        <w:pStyle w:val="Heading3"/>
        <w:spacing w:after="80" w:before="180"/>
      </w:pPr>
      <w:r>
        <w:rPr>
          <w:b/>
          <w:bCs/>
        </w:rPr>
        <w:t xml:space="preserve">24.4.1 CARVM no-lapse convention -- forced to zero at AL10</w:t>
      </w:r>
    </w:p>
    <w:p>
      <w:pPr>
        <w:pBdr>
          <w:left w:val="single" w:color="888888" w:sz="6"/>
        </w:pBdr>
        <w:shd w:fill="F2F2F2" w:val="clear"/>
        <w:spacing w:after="60" w:before="60"/>
        <w:ind w:left="720"/>
      </w:pPr>
      <w:r>
        <w:rPr>
          <w:rFonts w:ascii="Courier New" w:cs="Courier New" w:eastAsia="Courier New" w:hAnsi="Courier New"/>
          <w:sz w:val="18"/>
          <w:szCs w:val="18"/>
        </w:rPr>
        <w:t xml:space="preserve">=IF(Reserve_Method="CARVM", 0,</w:t>
      </w:r>
    </w:p>
    <w:p>
      <w:pPr>
        <w:pBdr>
          <w:left w:val="single" w:color="888888" w:sz="6"/>
        </w:pBdr>
        <w:shd w:fill="F2F2F2" w:val="clear"/>
        <w:spacing w:after="60" w:before="60"/>
        <w:ind w:left="720"/>
      </w:pPr>
      <w:r>
        <w:rPr>
          <w:rFonts w:ascii="Courier New" w:cs="Courier New" w:eastAsia="Courier New" w:hAnsi="Courier New"/>
          <w:sz w:val="18"/>
          <w:szCs w:val="18"/>
        </w:rPr>
        <w:t xml:space="preserve">   IF($A10&gt;=Projection_Months, 1,</w:t>
      </w:r>
    </w:p>
    <w:p>
      <w:pPr>
        <w:pBdr>
          <w:left w:val="single" w:color="888888" w:sz="6"/>
        </w:pBdr>
        <w:shd w:fill="F2F2F2" w:val="clear"/>
        <w:spacing w:after="60" w:before="60"/>
        <w:ind w:left="720"/>
      </w:pPr>
      <w:r>
        <w:rPr>
          <w:rFonts w:ascii="Courier New" w:cs="Courier New" w:eastAsia="Courier New" w:hAnsi="Courier New"/>
          <w:sz w:val="18"/>
          <w:szCs w:val="18"/>
        </w:rPr>
        <w:t xml:space="preserve">      1-(1-AJ10)^(1/12)))</w:t>
      </w:r>
    </w:p>
    <w:p>
      <w:pPr>
        <w:spacing w:after="80" w:before="80"/>
      </w:pPr>
      <w:r>
        <w:rPr>
          <w:b/>
          <w:bCs/>
        </w:rPr>
        <w:t xml:space="preserve">Critical implementation warning:</w:t>
      </w:r>
      <w:r>
        <w:t xml:space="preserve"> when Reserve_Method = CARVM, lapse is forced to exactly 0 at the Calc_Lapse_NYREG213!AL10 engine output level. The implementer must hard-wire CARVM lapse to zero and must also preserve the Calc_Lives!M10 routing guard (section 8.3). If either guard is absent, the CARVM reserve will be materially understated.</w:t>
      </w:r>
    </w:p>
    <w:p>
      <w:pPr>
        <w:pStyle w:val="Heading3"/>
        <w:spacing w:after="80" w:before="180"/>
      </w:pPr>
      <w:r>
        <w:rPr>
          <w:b/>
          <w:bCs/>
        </w:rPr>
        <w:t xml:space="preserve">24.4.2 NYREG213 Pre-2020 / 2020+ era split in Calc_Lapse_NYREG213</w:t>
      </w:r>
    </w:p>
    <w:p>
      <w:pPr>
        <w:spacing w:after="80" w:before="80"/>
      </w:pPr>
      <w:r>
        <w:rPr>
          <w:b/>
          <w:bCs/>
        </w:rPr>
        <w:t xml:space="preserve">Triggering condition:</w:t>
      </w:r>
      <w:r>
        <w:t xml:space="preserve"> Reserve_Basis = NYREG213 AND Policy_Info!P31 IN {'Pre 2020', '2020+'}. The era assignment: P31 = IF(Company='LNY', IF(OR(Block='Portland', IssueYear&lt;2020), 'Pre 2020', '2020+'), 'N/A'). Calc_Lapse_NYREG213!AF10..AI10 (DB/WB/GIB/NoBen sub-streams) each multiply by the era-appropriate factor. Calc_SepAcct!BD8 (fund-type selector) also branches on P31 (section 11.2).</w:t>
      </w:r>
    </w:p>
    <w:p>
      <w:pPr>
        <w:spacing w:after="80" w:before="80"/>
      </w:pPr>
      <w:r>
        <w:rPr>
          <w:b/>
          <w:bCs/>
        </w:rPr>
        <w:t xml:space="preserve">Observed in test policy:</w:t>
      </w:r>
      <w:r>
        <w:t xml:space="preserve"> Reserve_Basis = VM21PA; P31 = 'N/A'; era split is dormant. [DUMMY_NYREG213_PRE2020] and [DUMMY_NYREG213_2020PLUS] branches must be wired before any NYREG213 LNY policy is validated.</w:t>
      </w:r>
    </w:p>
    <w:p>
      <w:pPr>
        <w:pStyle w:val="Heading2"/>
        <w:spacing w:after="120" w:before="240"/>
      </w:pPr>
      <w:r>
        <w:rPr>
          <w:b/>
          <w:bCs/>
        </w:rPr>
        <w:t xml:space="preserve">24.5 Lives Engine Edge Cases</w:t>
      </w:r>
    </w:p>
    <w:p>
      <w:pPr>
        <w:pStyle w:val="Heading3"/>
        <w:spacing w:after="80" w:before="180"/>
      </w:pPr>
      <w:r>
        <w:rPr>
          <w:b/>
          <w:bCs/>
        </w:rPr>
        <w:t xml:space="preserve">24.5.1 Stub Period currently zeroed -- future activation (Policy_Info!T15)</w:t>
      </w:r>
    </w:p>
    <w:p>
      <w:pPr>
        <w:pBdr>
          <w:left w:val="single" w:color="888888" w:sz="6"/>
        </w:pBdr>
        <w:shd w:fill="F2F2F2" w:val="clear"/>
        <w:spacing w:after="60" w:before="60"/>
        <w:ind w:left="720"/>
      </w:pPr>
      <w:r>
        <w:rPr>
          <w:rFonts w:ascii="Courier New" w:cs="Courier New" w:eastAsia="Courier New" w:hAnsi="Courier New"/>
          <w:sz w:val="18"/>
          <w:szCs w:val="18"/>
        </w:rPr>
        <w:t xml:space="preserve">T15 = MIN(DAY(IssueDate)/30, 1) * 0</w:t>
      </w:r>
    </w:p>
    <w:p>
      <w:pPr>
        <w:spacing w:after="80" w:before="80"/>
      </w:pPr>
      <w:r>
        <w:rPr>
          <w:b/>
          <w:bCs/>
        </w:rPr>
        <w:t xml:space="preserve">Impact:</w:t>
      </w:r>
      <w:r>
        <w:t xml:space="preserve"> the multiplication by 0 permanently zeroes the stub period. All month-1 deaths land in the CME-to-EOP segment (Calc_Lives!L10) and none in BOP-to-CME (Calc_Lives!J10), per section 5.3. Removing the *0 would shift half-month deaths to the BOP-to-CME segment and require re-validation of all test-policy outputs.</w:t>
      </w:r>
    </w:p>
    <w:p>
      <w:pPr>
        <w:spacing w:after="80" w:before="80"/>
      </w:pPr>
      <w:r>
        <w:rPr>
          <w:b/>
          <w:bCs/>
        </w:rPr>
        <w:t xml:space="preserve">Implementation guard:</w:t>
      </w:r>
      <w:r>
        <w:t xml:space="preserve"> preserve the *0 exactly as in the source workbook. Do not 'fix' it without business-owner approval (section 25.8). If the target system lacks a stub-period switch, wire StubPeriod = 0 as a constant.</w:t>
      </w:r>
    </w:p>
    <w:p>
      <w:pPr>
        <w:pStyle w:val="Heading3"/>
        <w:spacing w:after="80" w:before="180"/>
      </w:pPr>
      <w:r>
        <w:rPr>
          <w:b/>
          <w:bCs/>
        </w:rPr>
        <w:t xml:space="preserve">24.5.2 CAPITAL basis producing zero lapse (likely wiring omission)</w:t>
      </w:r>
    </w:p>
    <w:p>
      <w:pPr>
        <w:spacing w:after="80" w:before="80"/>
      </w:pPr>
      <w:r>
        <w:rPr>
          <w:b/>
          <w:bCs/>
        </w:rPr>
        <w:t xml:space="preserve">Triggering condition:</w:t>
      </w:r>
      <w:r>
        <w:t xml:space="preserve"> Reserve_Basis = CAPITAL. The Calc_Lives!M10 routing formula (section 8.3) falls through all IF branches for CAPITAL and produces 0 lapse -- contradicting section 1.2's statement that CAPITAL uses the same engine plumbing as the statutory bases. [DUMMY_CAPITAL_LAPSE_ROUTING]</w:t>
      </w:r>
    </w:p>
    <w:p>
      <w:pPr>
        <w:spacing w:after="80" w:before="80"/>
      </w:pPr>
      <w:r>
        <w:rPr>
          <w:b/>
          <w:bCs/>
        </w:rPr>
        <w:t xml:space="preserve">Implementation guard:</w:t>
      </w:r>
      <w:r>
        <w:t xml:space="preserve"> wire CAPITAL to route to Calc_Lapse_VM21CA!BA10 (same as VM21CA/GAAPDAC) pending business-owner confirmation (section 25.9). A CAPITAL-basis run with 0 lapse materially overstates reserves.</w:t>
      </w:r>
    </w:p>
    <w:p>
      <w:pPr>
        <w:pStyle w:val="Heading2"/>
        <w:spacing w:after="120" w:before="240"/>
      </w:pPr>
      <w:r>
        <w:rPr>
          <w:b/>
          <w:bCs/>
        </w:rPr>
        <w:t xml:space="preserve">24.6 Fund Mechanics Edge Cases</w:t>
      </w:r>
    </w:p>
    <w:p>
      <w:pPr>
        <w:pStyle w:val="Heading3"/>
        <w:spacing w:after="80" w:before="180"/>
      </w:pPr>
      <w:r>
        <w:rPr>
          <w:b/>
          <w:bCs/>
        </w:rPr>
        <w:t xml:space="preserve">24.6.1 RAND()/10 volatile placeholders in Product Features!CO:CY</w:t>
      </w:r>
    </w:p>
    <w:p>
      <w:pPr>
        <w:spacing w:after="80" w:before="80"/>
      </w:pPr>
      <w:r>
        <w:rPr>
          <w:b/>
          <w:bCs/>
        </w:rPr>
        <w:t xml:space="preserve">Triggering condition:</w:t>
      </w:r>
      <w:r>
        <w:t xml:space="preserve"> Product Features tab columns CO through CY contain cells with =RAND()/10. These volatile formula placeholders recalculate to a new random value every time the workbook calculates (per section 4.13).</w:t>
      </w:r>
    </w:p>
    <w:p>
      <w:pPr>
        <w:spacing w:after="80" w:before="80"/>
      </w:pPr>
      <w:r>
        <w:rPr>
          <w:b/>
          <w:bCs/>
        </w:rPr>
        <w:t xml:space="preserve">Affected calculations:</w:t>
      </w:r>
      <w:r>
        <w:t xml:space="preserve"> columns CO-CY carry 401K crediting/spreads/MVA parameters. Any downstream formula in Calc_401K_MVA or Calc_FixedAcct referencing these cells will produce non-deterministic outputs across recalculations.</w:t>
      </w:r>
    </w:p>
    <w:p>
      <w:pPr>
        <w:spacing w:after="80" w:before="80"/>
      </w:pPr>
      <w:r>
        <w:rPr>
          <w:b/>
          <w:bCs/>
        </w:rPr>
        <w:t xml:space="preserve">Implementation guard:</w:t>
      </w:r>
      <w:r>
        <w:t xml:space="preserve"> before production use, replace all =RAND()/10 cells with correct values from the product team. Flag each with a [DUMMY -- placeholder RAND] comment. Do not use the spreadsheet in automatic-calculation mode until resolved.</w:t>
      </w:r>
    </w:p>
    <w:p>
      <w:pPr>
        <w:pStyle w:val="Heading3"/>
        <w:spacing w:after="80" w:before="180"/>
      </w:pPr>
      <w:r>
        <w:rPr>
          <w:b/>
          <w:bCs/>
        </w:rPr>
        <w:t xml:space="preserve">24.6.2 Misc Mappings AM:AN -- LB Code to i4L flag</w:t>
      </w:r>
    </w:p>
    <w:p>
      <w:pPr>
        <w:spacing w:after="80" w:before="80"/>
      </w:pPr>
      <w:r>
        <w:rPr>
          <w:b/>
          <w:bCs/>
        </w:rPr>
        <w:t xml:space="preserve">Triggering condition:</w:t>
      </w:r>
      <w:r>
        <w:t xml:space="preserve"> Policy_Info!C23 (i4L_Indicator) derives from the Misc Mappings AM:AN lookup. The AM:AN map (rows 3-21) maps LB Codes to TRUE/FALSE i4L indicators. Codes mapped to TRUE (i4L) per section 3.6: B, 1, 2, 3, 4, 5, 6, 7, 8, C, D, J, K. This list is marked for re-verification by a senior modeler in the source documentation.</w:t>
      </w:r>
    </w:p>
    <w:p>
      <w:pPr>
        <w:spacing w:after="80" w:before="80"/>
      </w:pPr>
      <w:r>
        <w:rPr>
          <w:b/>
          <w:bCs/>
        </w:rPr>
        <w:t xml:space="preserve">Implementation guard:</w:t>
      </w:r>
      <w:r>
        <w:t xml:space="preserve"> load the Misc Mappings AM:AN table as a static dictionary at startup. Do not hardcode the i4L codes in target-system logic.</w:t>
      </w:r>
    </w:p>
    <w:p>
      <w:pPr>
        <w:pStyle w:val="Heading3"/>
        <w:spacing w:after="80" w:before="180"/>
      </w:pPr>
      <w:r>
        <w:rPr>
          <w:b/>
          <w:bCs/>
        </w:rPr>
        <w:t xml:space="preserve">24.6.3 Reinsurance Phase 0-7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Phase</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rPr>
              <w:t xml:space="preserve">Description (Misc Mappings W2:W9)</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0</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 Reinsurance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100% LNBar Reinsurance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50% LNBar, 50% Swiss Reinsurance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3</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50% LNBar, 50% UH Reinsurance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35% LNBar, 65% UH Reinsurance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5</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LNY 90% Coinsurance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20% LNBar, 80% Talcott Reinsurance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7</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b w:val="false"/>
                <w:bCs w:val="false"/>
              </w:rPr>
              <w:t xml:space="preserve">(reserved -- see Misc Mappings W9 and section 25.10)</w:t>
            </w:r>
          </w:p>
        </w:tc>
      </w:tr>
    </w:tbl>
    <w:p>
      <w:pPr>
        <w:spacing w:after="80" w:before="80"/>
      </w:pPr>
      <w:r>
        <w:rPr>
          <w:b/>
          <w:bCs/>
        </w:rPr>
        <w:t xml:space="preserve">Observed in test policy:</w:t>
      </w:r>
      <w:r>
        <w:t xml:space="preserve"> Reinsurance Phase = 1 (100% LNBar). Phases 2-7 are [DUMMY_REINS_PHASE_2] through [DUMMY_REINS_PHASE_7].</w:t>
      </w:r>
    </w:p>
    <w:p>
      <w:pPr>
        <w:pStyle w:val="Heading3"/>
        <w:spacing w:after="80" w:before="180"/>
      </w:pPr>
      <w:r>
        <w:rPr>
          <w:b/>
          <w:bCs/>
        </w:rPr>
        <w:t xml:space="preserve">24.6.4 LNL vs LNY Gross/Net mortality derivation (Configuration!C11)</w:t>
      </w:r>
    </w:p>
    <w:p>
      <w:pPr>
        <w:pBdr>
          <w:left w:val="single" w:color="888888" w:sz="6"/>
        </w:pBdr>
        <w:shd w:fill="F2F2F2" w:val="clear"/>
        <w:spacing w:after="60" w:before="60"/>
        <w:ind w:left="720"/>
      </w:pPr>
      <w:r>
        <w:rPr>
          <w:rFonts w:ascii="Courier New" w:cs="Courier New" w:eastAsia="Courier New" w:hAnsi="Courier New"/>
          <w:sz w:val="18"/>
          <w:szCs w:val="18"/>
        </w:rPr>
        <w:t xml:space="preserve">Gross_Net = IF(Policy_Info!$C$16="LNL", "Gross", "Net")</w:t>
      </w:r>
    </w:p>
    <w:p>
      <w:pPr>
        <w:spacing w:after="80" w:before="80"/>
      </w:pPr>
      <w:r>
        <w:rPr>
          <w:b/>
          <w:bCs/>
        </w:rPr>
        <w:t xml:space="preserve">Plain language:</w:t>
      </w:r>
      <w:r>
        <w:t xml:space="preserve"> LNL policies use Gross mortality (no reinsurance mortality adjustment in the base table); LNY policies use Net mortality. This governs the Mortality PAD column selection at Policy_Info!P13 (section 6.7) and the Lapse PAD scalar at Policy_Info!P23.</w:t>
      </w:r>
    </w:p>
    <w:p>
      <w:pPr>
        <w:spacing w:after="80" w:before="80"/>
      </w:pPr>
      <w:r>
        <w:rPr>
          <w:b/>
          <w:bCs/>
        </w:rPr>
        <w:t xml:space="preserve">Implementation guard:</w:t>
      </w:r>
      <w:r>
        <w:t xml:space="preserve"> confirm that the Company field in Input_PolicyDataRaw is reliably populated as 'LNL' or 'LNY' and not as raw database codes ('L' or 'Y'). Policy_Info!C16 applies a transformation: IF(E16='L', 'LNL', IF(E16='Y', 'LNY', E16)).</w:t>
      </w:r>
    </w:p>
    <w:p>
      <w:r>
        <w:br w:type="page"/>
      </w:r>
    </w:p>
    <w:p>
      <w:pPr>
        <w:pStyle w:val="Heading1"/>
        <w:spacing w:after="180" w:before="360"/>
      </w:pPr>
      <w:r>
        <w:rPr>
          <w:b/>
          <w:bCs/>
        </w:rPr>
        <w:t xml:space="preserve">25. Open Questions for the Business Owner</w:t>
      </w:r>
    </w:p>
    <w:p>
      <w:pPr>
        <w:spacing w:after="80" w:before="80"/>
      </w:pPr>
      <w:r>
        <w:t xml:space="preserve">This section enumerates inputs, assumptions, and model mechanics whose meaning cannot be fully derived from the workbook alone. Each item identifies the question, the source of ambiguity, and the impact on the target-system implementation if unresolved. All items should be directed to the responsible business owner or product actuary before the model is validated in production.</w:t>
      </w:r>
    </w:p>
    <w:p>
      <w:pPr>
        <w:pStyle w:val="Heading2"/>
        <w:spacing w:after="120" w:before="240"/>
      </w:pPr>
      <w:r>
        <w:rPr>
          <w:b/>
          <w:bCs/>
        </w:rPr>
        <w:t xml:space="preserve">25.1 LB Code Descriptions (Codes 3-8 and Letter Codes A, B, C, D, E, F, G, H, I, J, K, L, M, O, P, Q, R, S, T, U, V, X, Y, Z)</w:t>
      </w:r>
    </w:p>
    <w:p>
      <w:pPr>
        <w:spacing w:after="80" w:before="80"/>
      </w:pPr>
      <w:r>
        <w:rPr>
          <w:b/>
          <w:bCs/>
        </w:rPr>
        <w:t xml:space="preserve">Question:</w:t>
      </w:r>
      <w:r>
        <w:t xml:space="preserve"> the Mapping Table (section 4.1.1) documents only two LB Code descriptions: Code 1 = 'i4L Solution' and Code 2 = 'i4L Advantage w/ EGMDB.' All remaining codes appear in the Mapping Table column B with no description in column C. Please provide the full LB-code-to-feature-description mapping document.</w:t>
      </w:r>
    </w:p>
    <w:p>
      <w:pPr>
        <w:spacing w:after="80" w:before="80"/>
      </w:pPr>
      <w:r>
        <w:rPr>
          <w:b/>
          <w:bCs/>
        </w:rPr>
        <w:t xml:space="preserve">Impact:</w:t>
      </w:r>
      <w:r>
        <w:t xml:space="preserve"> without LB code descriptions, the implementer cannot wire the correct GMWB, GIB, i4L, or 4Later feature stack for each code; cannot validate the Misc Mappings AM:AN i4L flag for codes 3-8 and letter codes; and cannot confirm which codes are subject to the Cohort Type rule (section 24.2.1, special treatment for B, C, D).</w:t>
      </w:r>
    </w:p>
    <w:p>
      <w:pPr>
        <w:spacing w:after="80" w:before="80"/>
      </w:pPr>
      <w:r>
        <w:rPr>
          <w:b/>
          <w:bCs/>
        </w:rPr>
        <w:t xml:space="preserve">Priority:</w:t>
      </w:r>
      <w:r>
        <w:t xml:space="preserve"> HIGH -- blocking for any test policy outside the LMFR5 / LB_Code = N combination.</w:t>
      </w:r>
    </w:p>
    <w:p>
      <w:pPr>
        <w:pStyle w:val="Heading2"/>
        <w:spacing w:after="120" w:before="240"/>
      </w:pPr>
      <w:r>
        <w:rPr>
          <w:b/>
          <w:bCs/>
        </w:rPr>
        <w:t xml:space="preserve">25.2 EEB Indicator -- Full Meaning Beyond Charge Implication</w:t>
      </w:r>
    </w:p>
    <w:p>
      <w:pPr>
        <w:spacing w:after="80" w:before="80"/>
      </w:pPr>
      <w:r>
        <w:rPr>
          <w:b/>
          <w:bCs/>
        </w:rPr>
        <w:t xml:space="preserve">Question:</w:t>
      </w:r>
      <w:r>
        <w:t xml:space="preserve"> the EEB Indicator at Policy_Info!C70 drives the EEB Charge Grid lookup (section 4.4) and is referenced in the GMDB face mechanics at Calc_TotalFund. (a) What is the full business meaning of EEB Indicator = 0 vs 1? (b) Does EEB Indicator = 1 always mean the rider is active, or are there partial-EEB states? (c) Does EEB Indicator control claim behavior in the GMDB block beyond the charge?</w:t>
      </w:r>
    </w:p>
    <w:p>
      <w:pPr>
        <w:spacing w:after="80" w:before="80"/>
      </w:pPr>
      <w:r>
        <w:rPr>
          <w:b/>
          <w:bCs/>
        </w:rPr>
        <w:t xml:space="preserve">Impact:</w:t>
      </w:r>
      <w:r>
        <w:t xml:space="preserve"> a policy with EEB Indicator = 1 may produce a materially higher death benefit than one with EEB Indicator = 0 if the claim branch is wired incorrectly.</w:t>
      </w:r>
    </w:p>
    <w:p>
      <w:pPr>
        <w:pStyle w:val="Heading2"/>
        <w:spacing w:after="120" w:before="240"/>
      </w:pPr>
      <w:r>
        <w:rPr>
          <w:b/>
          <w:bCs/>
        </w:rPr>
        <w:t xml:space="preserve">25.3 Mort Group RS vs RP Semantics</w:t>
      </w:r>
    </w:p>
    <w:p>
      <w:pPr>
        <w:spacing w:after="80" w:before="80"/>
      </w:pPr>
      <w:r>
        <w:rPr>
          <w:b/>
          <w:bCs/>
        </w:rPr>
        <w:t xml:space="preserve">Question:</w:t>
      </w:r>
      <w:r>
        <w:t xml:space="preserve"> the test policy uses Mort Group = RP. (a) Is RS structurally equivalent to RP (different mortality table but same formula path), or does RS trigger a distinct formula branch in Calc_Mortality!I10? (b) Are there Mort Group codes beyond JL, RP, RS? (c) How does the Mort Group map to the sub-table column index at Calc_Mortality!I8?</w:t>
      </w:r>
    </w:p>
    <w:p>
      <w:pPr>
        <w:spacing w:after="80" w:before="80"/>
      </w:pPr>
      <w:r>
        <w:rPr>
          <w:b/>
          <w:bCs/>
        </w:rPr>
        <w:t xml:space="preserve">Impact:</w:t>
      </w:r>
      <w:r>
        <w:t xml:space="preserve"> a silent column mismatch in the $I$8 MATCH would apply the wrong mortality table to all RS-policy projection months without raising an error.</w:t>
      </w:r>
    </w:p>
    <w:p>
      <w:pPr>
        <w:pStyle w:val="Heading2"/>
        <w:spacing w:after="120" w:before="240"/>
      </w:pPr>
      <w:r>
        <w:rPr>
          <w:b/>
          <w:bCs/>
        </w:rPr>
        <w:t xml:space="preserve">25.4 Rate Shock Vector -- Consumer Logic</w:t>
      </w:r>
    </w:p>
    <w:p>
      <w:pPr>
        <w:spacing w:after="80" w:before="80"/>
      </w:pPr>
      <w:r>
        <w:rPr>
          <w:b/>
          <w:bCs/>
        </w:rPr>
        <w:t xml:space="preserve">Question:</w:t>
      </w:r>
      <w:r>
        <w:t xml:space="preserve"> Configuration!C17 (Rate Shock) carries a data-validation list {Base, +50bps, -50bps, +100bps, -100bps} but no consumer formula referencing Configuration!C17 has been identified in the sampled calc tabs. (a) Does any calc-engine formula currently branch on Rate Shock? If so, which tab and cell? (b) Is the Rate Shock intended to shift the Input_Future Scenario yield-curve rows by the stated basis points?</w:t>
      </w:r>
    </w:p>
    <w:p>
      <w:pPr>
        <w:spacing w:after="80" w:before="80"/>
      </w:pPr>
      <w:r>
        <w:rPr>
          <w:b/>
          <w:bCs/>
        </w:rPr>
        <w:t xml:space="preserve">Impact:</w:t>
      </w:r>
      <w:r>
        <w:t xml:space="preserve"> if Rate Shock is live and undiscovered, the non-Base paths are producing incorrect results on any non-Base run without error.</w:t>
      </w:r>
    </w:p>
    <w:p>
      <w:pPr>
        <w:pStyle w:val="Heading2"/>
        <w:spacing w:after="120" w:before="240"/>
      </w:pPr>
      <w:r>
        <w:rPr>
          <w:b/>
          <w:bCs/>
        </w:rPr>
        <w:t xml:space="preserve">25.5 GMWB Compression Adj and GMDB Compression Adj -- Activation Plan</w:t>
      </w:r>
    </w:p>
    <w:p>
      <w:pPr>
        <w:spacing w:after="80" w:before="80"/>
      </w:pPr>
      <w:r>
        <w:rPr>
          <w:b/>
          <w:bCs/>
        </w:rPr>
        <w:t xml:space="preserve">Question:</w:t>
      </w:r>
      <w:r>
        <w:t xml:space="preserve"> Configuration!C13 (GMWB Compression Adj, flagged 'future-use') and Configuration!C14 (GMDB Compression Adj, currently 0) are dormant per section 2.2 and section 24.1.4. (a) What is the planned seasoning algorithm for GMWB that will activate C13? (b) What business event triggers a non-zero GMDB Compression Adj in C14? (c) Is there a timeline for activating these parameters?</w:t>
      </w:r>
    </w:p>
    <w:p>
      <w:pPr>
        <w:spacing w:after="80" w:before="80"/>
      </w:pPr>
      <w:r>
        <w:rPr>
          <w:b/>
          <w:bCs/>
        </w:rPr>
        <w:t xml:space="preserve">Impact:</w:t>
      </w:r>
      <w:r>
        <w:t xml:space="preserve"> if C14 is activated without notifying the implementer, the GMDB seed balances at Policy_Info!T19-T26 will silently shift, changing all GMDB-face and GMDB-charge projections.</w:t>
      </w:r>
    </w:p>
    <w:p>
      <w:pPr>
        <w:pStyle w:val="Heading2"/>
        <w:spacing w:after="120" w:before="240"/>
      </w:pPr>
      <w:r>
        <w:rPr>
          <w:b/>
          <w:bCs/>
        </w:rPr>
        <w:t xml:space="preserve">25.6 i4L AIR #N/A -- Expected or Data Quality Issue</w:t>
      </w:r>
    </w:p>
    <w:p>
      <w:pPr>
        <w:spacing w:after="80" w:before="80"/>
      </w:pPr>
      <w:r>
        <w:rPr>
          <w:b/>
          <w:bCs/>
        </w:rPr>
        <w:t xml:space="preserve">Question:</w:t>
      </w:r>
      <w:r>
        <w:t xml:space="preserve"> Policy_Info cells for i4L AIR and i4L AIR 2 return #N/A in the test policy (section 24.2.3). (a) Is this expected for a non-i4L policy (SQL extract intentionally omits i4L AIR for non-i4L records)? (b) Should the formula be wrapped in IFERROR(..., 0) to prevent propagation? (c) For an i4L test policy, will the i4L AIR field be populated?</w:t>
      </w:r>
    </w:p>
    <w:p>
      <w:pPr>
        <w:spacing w:after="80" w:before="80"/>
      </w:pPr>
      <w:r>
        <w:rPr>
          <w:b/>
          <w:bCs/>
        </w:rPr>
        <w:t xml:space="preserve">Impact:</w:t>
      </w:r>
      <w:r>
        <w:t xml:space="preserve"> for any i4L test policy, an unguarded #N/A in i4L AIR will disable the entire Calc_i4L engine and produce #N/A in all CY Report i4L scalar rows (section 21.3.2, rows 65-83).</w:t>
      </w:r>
    </w:p>
    <w:p>
      <w:pPr>
        <w:pStyle w:val="Heading2"/>
        <w:spacing w:after="120" w:before="240"/>
      </w:pPr>
      <w:r>
        <w:rPr>
          <w:b/>
          <w:bCs/>
        </w:rPr>
        <w:t xml:space="preserve">25.7 DAC Amortization Basis #VALUE! -- Formula Correction</w:t>
      </w:r>
    </w:p>
    <w:p>
      <w:pPr>
        <w:spacing w:after="80" w:before="80"/>
      </w:pPr>
      <w:r>
        <w:rPr>
          <w:b/>
          <w:bCs/>
        </w:rPr>
        <w:t xml:space="preserve">Question:</w:t>
      </w:r>
      <w:r>
        <w:t xml:space="preserve"> Policy_Info!C107 returns #VALUE! due to LEFT(E107, 8) coercing a non-string value (section 3.4 and section 24.2.4). (a) What data type does the 'DAC Amortization Basis' SQL field carry? (b) Is LEFT() the correct parsing approach, or should the formula use VALUE() or a direct reference to E107? (c) What is the expected value of DAC Amortization Basis for the test policy?</w:t>
      </w:r>
    </w:p>
    <w:p>
      <w:pPr>
        <w:spacing w:after="80" w:before="80"/>
      </w:pPr>
      <w:r>
        <w:rPr>
          <w:b/>
          <w:bCs/>
        </w:rPr>
        <w:t xml:space="preserve">Impact:</w:t>
      </w:r>
      <w:r>
        <w:t xml:space="preserve"> the #VALUE! at C107 disables Calc_DAC (all 18 columns) and the AXIS DAC Recon Report (section 21.4.2). The entire GAAP LDTI DAC amortization validation is blocked until this is resolved.</w:t>
      </w:r>
    </w:p>
    <w:p>
      <w:pPr>
        <w:pStyle w:val="Heading2"/>
        <w:spacing w:after="120" w:before="240"/>
      </w:pPr>
      <w:r>
        <w:rPr>
          <w:b/>
          <w:bCs/>
        </w:rPr>
        <w:t xml:space="preserve">25.8 Stub Period -- Activation Trigger and Timeline</w:t>
      </w:r>
    </w:p>
    <w:p>
      <w:pPr>
        <w:spacing w:after="80" w:before="80"/>
      </w:pPr>
      <w:r>
        <w:rPr>
          <w:b/>
          <w:bCs/>
        </w:rPr>
        <w:t xml:space="preserve">Question:</w:t>
      </w:r>
      <w:r>
        <w:t xml:space="preserve"> Policy_Info!T15 = MIN(DAY(IssueDate)/30, 1) * 0 permanently zeroes the stub period by design (section 5.3 and section 24.5.1). (a) Under what circumstances is the stub period expected to be activated by removing the *0? (b) Is the stub period connected to a regulatory or GAAP requirement change? (c) Has the *0 ever been removed in a prior version of the workbook?</w:t>
      </w:r>
    </w:p>
    <w:p>
      <w:pPr>
        <w:spacing w:after="80" w:before="80"/>
      </w:pPr>
      <w:r>
        <w:rPr>
          <w:b/>
          <w:bCs/>
        </w:rPr>
        <w:t xml:space="preserve">Impact:</w:t>
      </w:r>
      <w:r>
        <w:t xml:space="preserve"> removing the *0 shifts month-1 death charges from CME-to-EOP to BOP-to-CME, requiring re-validation of all test-policy benchmarks.</w:t>
      </w:r>
    </w:p>
    <w:p>
      <w:pPr>
        <w:pStyle w:val="Heading2"/>
        <w:spacing w:after="120" w:before="240"/>
      </w:pPr>
      <w:r>
        <w:rPr>
          <w:b/>
          <w:bCs/>
        </w:rPr>
        <w:t xml:space="preserve">25.9 CAPITAL Basis Lapse Routing -- Intended Path</w:t>
      </w:r>
    </w:p>
    <w:p>
      <w:pPr>
        <w:spacing w:after="80" w:before="80"/>
      </w:pPr>
      <w:r>
        <w:rPr>
          <w:b/>
          <w:bCs/>
        </w:rPr>
        <w:t xml:space="preserve">Question:</w:t>
      </w:r>
      <w:r>
        <w:t xml:space="preserve"> as documented in section 8.3, the Calc_Lives!M10 routing formula produces 0 lapse when Reserve_Basis = CAPITAL (the CAPITAL branch falls through all IF conditions). Section 1.2 states that CAPITAL uses the same engine plumbing as the statutory bases. Should CAPITAL route to Calc_Lapse_VM21CA!BA10 (same as VM21CA/GAAPDAC)? If so, the Calc_Lives!M10 formula requires a bug fix. [DUMMY_CAPITAL_LAPSE_ROUTING]</w:t>
      </w:r>
    </w:p>
    <w:p>
      <w:pPr>
        <w:spacing w:after="80" w:before="80"/>
      </w:pPr>
      <w:r>
        <w:rPr>
          <w:b/>
          <w:bCs/>
        </w:rPr>
        <w:t xml:space="preserve">Impact:</w:t>
      </w:r>
      <w:r>
        <w:t xml:space="preserve"> a CAPITAL-basis run with 0 lapse produces reserves equivalent to assuming no policyholders ever surrender, materially overstating the CAPITAL reserve.</w:t>
      </w:r>
    </w:p>
    <w:p>
      <w:pPr>
        <w:pStyle w:val="Heading2"/>
        <w:spacing w:after="120" w:before="240"/>
      </w:pPr>
      <w:r>
        <w:rPr>
          <w:b/>
          <w:bCs/>
        </w:rPr>
        <w:t xml:space="preserve">25.10 Reinsurance Phase 7 -- Active or Reserved</w:t>
      </w:r>
    </w:p>
    <w:p>
      <w:pPr>
        <w:spacing w:after="80" w:before="80"/>
      </w:pPr>
      <w:r>
        <w:rPr>
          <w:b/>
          <w:bCs/>
        </w:rPr>
        <w:t xml:space="preserve">Question:</w:t>
      </w:r>
      <w:r>
        <w:t xml:space="preserve"> Misc Mappings W9 lists Phase 7 as '(reserved).' (a) Is Phase 7 currently in use for any active block of Lincoln policies? (b) If Phase 7 is live, what reinsurance scheme does it represent? (c) If reserved, should the target-system implementation raise an error when Phase 7 is encountered rather than silently applying no reinsurance?</w:t>
      </w:r>
    </w:p>
    <w:p>
      <w:pPr>
        <w:spacing w:after="80" w:before="80"/>
      </w:pPr>
      <w:r>
        <w:rPr>
          <w:b/>
          <w:bCs/>
        </w:rPr>
        <w:t xml:space="preserve">Impact:</w:t>
      </w:r>
      <w:r>
        <w:t xml:space="preserve"> a policy with Reinsurance Phase = 7 will fail to find a matching row in Misc Mappings!W2:W9, producing a lookup error or defaulting to no reinsurance -- either outcome is incorrect if Phase 7 is a live scheme.</w:t>
      </w:r>
    </w:p>
    <w:p>
      <w:pPr>
        <w:pStyle w:val="Heading2"/>
        <w:spacing w:after="120" w:before="240"/>
      </w:pPr>
      <w:r>
        <w:rPr>
          <w:b/>
          <w:bCs/>
        </w:rPr>
        <w:t xml:space="preserve">25.11 Investment Requirement Y/N -- Business Meaning</w:t>
      </w:r>
    </w:p>
    <w:p>
      <w:pPr>
        <w:spacing w:after="80" w:before="80"/>
      </w:pPr>
      <w:r>
        <w:rPr>
          <w:b/>
          <w:bCs/>
        </w:rPr>
        <w:t xml:space="preserve">Question:</w:t>
      </w:r>
      <w:r>
        <w:t xml:space="preserve"> the Input_PolicyDataRaw schema (section 3.2) lists 'Investment Requirement' (Y/N) as a field. No consumer formula branching on Investment Requirement has been found in the documented calc tabs. (a) What is the business meaning of Investment Requirement Y vs N? (b) Does any calc-engine formula branch on this field?</w:t>
      </w:r>
    </w:p>
    <w:p>
      <w:pPr>
        <w:spacing w:after="80" w:before="80"/>
      </w:pPr>
      <w:r>
        <w:rPr>
          <w:b/>
          <w:bCs/>
        </w:rPr>
        <w:t xml:space="preserve">Impact:</w:t>
      </w:r>
      <w:r>
        <w:t xml:space="preserve"> if Investment Requirement gates a feature (e.g., a minimum fund allocation constraint or a specific IMF tier), a policy with Y vs N may produce different charge outcomes without any visible formula branch.</w:t>
      </w:r>
    </w:p>
    <w:p>
      <w:pPr>
        <w:pStyle w:val="Heading2"/>
        <w:spacing w:after="120" w:before="240"/>
      </w:pPr>
      <w:r>
        <w:rPr>
          <w:b/>
          <w:bCs/>
        </w:rPr>
        <w:t xml:space="preserve">25.12 EY Indicator (Early Yield) -- Policy Load Waiver Logic</w:t>
      </w:r>
    </w:p>
    <w:p>
      <w:pPr>
        <w:spacing w:after="80" w:before="80"/>
      </w:pPr>
      <w:r>
        <w:rPr>
          <w:b/>
          <w:bCs/>
        </w:rPr>
        <w:t xml:space="preserve">Question:</w:t>
      </w:r>
      <w:r>
        <w:t xml:space="preserve"> Policy_Info!L30 (Inflatable Expense Charge per Policy) is gated to zero when EY Indicator = 'Yes' (section 4.9). (a) What is the full business definition of EY (Early Yield) Indicator? (b) Does EY = 'Yes' affect any formula beyond the policy load suppression at L30? (c) Is the indicator populated as 'Yes'/'No' or as 1/0 in the SQL extract -- the formula uses a string comparison against 'Yes'?</w:t>
      </w:r>
    </w:p>
    <w:p>
      <w:pPr>
        <w:spacing w:after="80" w:before="80"/>
      </w:pPr>
      <w:r>
        <w:rPr>
          <w:b/>
          <w:bCs/>
        </w:rPr>
        <w:t xml:space="preserve">Impact:</w:t>
      </w:r>
      <w:r>
        <w:t xml:space="preserve"> an EY Indicator populated as 1 rather than 'Yes' would pass the string comparison silently (1 != 'Yes'), failing to suppress the policy load and producing an overstated expense charge for EY policies.</w:t>
      </w:r>
    </w:p>
    <w:p>
      <w:pPr>
        <w:spacing w:after="0" w:before="240"/>
      </w:pPr>
    </w:p>
    <w:p>
      <w:pPr>
        <w:spacing w:after="80" w:before="80"/>
      </w:pPr>
      <w:r>
        <w:rPr>
          <w:b/>
          <w:bCs/>
        </w:rPr>
        <w:t xml:space="preserve">End of Sections 20, 21, 24, and 25.</w:t>
      </w:r>
      <w:r>
        <w:t xml:space="preserve"> Sections 22 (Bifurcation Matrix) and 23 (Reproducibility Checklist) will be inserted between Section 21 and Section 24 in the final assembled document. The next scheduled chat will produce Sections 12-15 (Fixed Account Engine, CARVM Engine, Standard Scenario ANR Engine, Implied Forwards and Inflation Engines).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2026-05-26T13:42:47.296Z</dcterms:created>
  <dcterms:modified xsi:type="dcterms:W3CDTF">2026-05-26T13:42:47.311Z</dcterms:modified>
</cp:coreProperties>
</file>

<file path=docProps/custom.xml><?xml version="1.0" encoding="utf-8"?>
<Properties xmlns="http://schemas.openxmlformats.org/officeDocument/2006/custom-properties" xmlns:vt="http://schemas.openxmlformats.org/officeDocument/2006/docPropsVTypes"/>
</file>