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7E85" w14:textId="77777777" w:rsidR="001F4F95" w:rsidRDefault="001F4F95" w:rsidP="001F4F95">
      <w:pPr>
        <w:pStyle w:val="Heading1"/>
        <w:spacing w:before="79" w:line="276" w:lineRule="auto"/>
        <w:ind w:left="2275" w:right="1125" w:hanging="348"/>
      </w:pPr>
    </w:p>
    <w:p w14:paraId="5D2CC2DF" w14:textId="77777777" w:rsidR="001E3EA9" w:rsidRDefault="001E3EA9" w:rsidP="001F4F95">
      <w:pPr>
        <w:pStyle w:val="Heading1"/>
        <w:spacing w:before="79" w:line="276" w:lineRule="auto"/>
        <w:ind w:left="2275" w:right="1125" w:hanging="348"/>
      </w:pPr>
    </w:p>
    <w:p w14:paraId="4F188D53" w14:textId="77777777" w:rsidR="001E3EA9" w:rsidRDefault="001E3EA9" w:rsidP="001F4F95">
      <w:pPr>
        <w:pStyle w:val="Heading1"/>
        <w:spacing w:before="79" w:line="276" w:lineRule="auto"/>
        <w:ind w:left="2275" w:right="1125" w:hanging="348"/>
      </w:pPr>
    </w:p>
    <w:p w14:paraId="1C121F97" w14:textId="77777777" w:rsidR="001E3EA9" w:rsidRPr="00CC6032" w:rsidRDefault="001E3EA9" w:rsidP="001E3EA9">
      <w:pPr>
        <w:jc w:val="center"/>
        <w:rPr>
          <w:b/>
          <w:bCs/>
          <w:i/>
          <w:iCs/>
          <w:color w:val="000000" w:themeColor="text1"/>
          <w:sz w:val="24"/>
          <w:szCs w:val="24"/>
        </w:rPr>
      </w:pPr>
      <w:r w:rsidRPr="00CC6032">
        <w:rPr>
          <w:b/>
          <w:bCs/>
          <w:i/>
          <w:iCs/>
          <w:color w:val="000000" w:themeColor="text1"/>
          <w:sz w:val="24"/>
          <w:szCs w:val="24"/>
          <w:highlight w:val="yellow"/>
        </w:rPr>
        <w:t>On the Letterhead of the Company</w:t>
      </w:r>
    </w:p>
    <w:p w14:paraId="248EF9CE" w14:textId="77777777" w:rsidR="001E3EA9" w:rsidRPr="001E3EA9" w:rsidRDefault="001E3EA9" w:rsidP="001F4F95">
      <w:pPr>
        <w:pStyle w:val="Heading1"/>
        <w:spacing w:before="79" w:line="276" w:lineRule="auto"/>
        <w:ind w:left="2275" w:right="1125" w:hanging="348"/>
        <w:rPr>
          <w:b w:val="0"/>
          <w:bCs w:val="0"/>
        </w:rPr>
      </w:pPr>
    </w:p>
    <w:p w14:paraId="2EAA8501" w14:textId="77777777" w:rsidR="009F5045" w:rsidRDefault="009F5045">
      <w:pPr>
        <w:pStyle w:val="BodyText"/>
        <w:spacing w:before="124"/>
        <w:rPr>
          <w:b/>
        </w:rPr>
      </w:pPr>
    </w:p>
    <w:p w14:paraId="5EBD3387" w14:textId="01310A62" w:rsidR="009F5045" w:rsidRPr="001F4F95" w:rsidRDefault="00CF6F5E" w:rsidP="001F4F95">
      <w:pPr>
        <w:pStyle w:val="Header"/>
        <w:tabs>
          <w:tab w:val="left" w:pos="9630"/>
        </w:tabs>
        <w:jc w:val="both"/>
        <w:rPr>
          <w:b/>
          <w:bCs/>
          <w:sz w:val="24"/>
          <w:szCs w:val="24"/>
        </w:rPr>
      </w:pPr>
      <w:r w:rsidRPr="001F4F95">
        <w:rPr>
          <w:sz w:val="24"/>
          <w:szCs w:val="24"/>
        </w:rPr>
        <w:t>W</w:t>
      </w:r>
      <w:r>
        <w:rPr>
          <w:spacing w:val="73"/>
          <w:sz w:val="24"/>
          <w:szCs w:val="24"/>
        </w:rPr>
        <w:t>e</w:t>
      </w:r>
      <w:r w:rsidR="001E3EA9">
        <w:rPr>
          <w:b/>
          <w:bCs/>
          <w:sz w:val="24"/>
          <w:szCs w:val="24"/>
        </w:rPr>
        <w:t xml:space="preserve">……………… </w:t>
      </w:r>
      <w:r w:rsidR="001E3EA9" w:rsidRPr="001E3EA9">
        <w:rPr>
          <w:b/>
          <w:bCs/>
          <w:color w:val="EE0000"/>
          <w:sz w:val="24"/>
          <w:szCs w:val="24"/>
        </w:rPr>
        <w:t>(COMPANY NAME)</w:t>
      </w:r>
      <w:r w:rsidRPr="001F4F95">
        <w:rPr>
          <w:sz w:val="24"/>
          <w:szCs w:val="24"/>
        </w:rPr>
        <w:t>, an unlisted Private Limited</w:t>
      </w:r>
      <w:r w:rsidR="001F4F95">
        <w:rPr>
          <w:sz w:val="24"/>
          <w:szCs w:val="24"/>
        </w:rPr>
        <w:t xml:space="preserve"> </w:t>
      </w:r>
      <w:r w:rsidRPr="001F4F95">
        <w:rPr>
          <w:sz w:val="24"/>
          <w:szCs w:val="24"/>
        </w:rPr>
        <w:t>Company incorporated under the Companies Act,</w:t>
      </w:r>
      <w:r w:rsidR="001F4F95">
        <w:rPr>
          <w:sz w:val="24"/>
          <w:szCs w:val="24"/>
        </w:rPr>
        <w:t xml:space="preserve"> </w:t>
      </w:r>
      <w:r w:rsidRPr="001F4F95">
        <w:rPr>
          <w:sz w:val="24"/>
          <w:szCs w:val="24"/>
        </w:rPr>
        <w:t>2013, (hereinafter called “</w:t>
      </w:r>
      <w:r w:rsidRPr="001F4F95">
        <w:rPr>
          <w:b/>
          <w:sz w:val="24"/>
          <w:szCs w:val="24"/>
        </w:rPr>
        <w:t>the Company</w:t>
      </w:r>
      <w:r w:rsidRPr="001F4F95">
        <w:rPr>
          <w:sz w:val="24"/>
          <w:szCs w:val="24"/>
        </w:rPr>
        <w:t>”) are desirous</w:t>
      </w:r>
      <w:r w:rsidRPr="001F4F95">
        <w:rPr>
          <w:spacing w:val="-6"/>
          <w:sz w:val="24"/>
          <w:szCs w:val="24"/>
        </w:rPr>
        <w:t xml:space="preserve"> </w:t>
      </w:r>
      <w:r w:rsidRPr="001F4F95">
        <w:rPr>
          <w:sz w:val="24"/>
          <w:szCs w:val="24"/>
        </w:rPr>
        <w:t>to</w:t>
      </w:r>
      <w:r w:rsidRPr="001F4F95">
        <w:rPr>
          <w:spacing w:val="-5"/>
          <w:sz w:val="24"/>
          <w:szCs w:val="24"/>
        </w:rPr>
        <w:t xml:space="preserve"> </w:t>
      </w:r>
      <w:r w:rsidRPr="001F4F95">
        <w:rPr>
          <w:sz w:val="24"/>
          <w:szCs w:val="24"/>
        </w:rPr>
        <w:t>admit</w:t>
      </w:r>
      <w:r w:rsidRPr="001F4F95">
        <w:rPr>
          <w:spacing w:val="-5"/>
          <w:sz w:val="24"/>
          <w:szCs w:val="24"/>
        </w:rPr>
        <w:t xml:space="preserve"> </w:t>
      </w:r>
      <w:r w:rsidRPr="001F4F95">
        <w:rPr>
          <w:sz w:val="24"/>
          <w:szCs w:val="24"/>
        </w:rPr>
        <w:t>our</w:t>
      </w:r>
      <w:r w:rsidRPr="001F4F95">
        <w:rPr>
          <w:spacing w:val="-7"/>
          <w:sz w:val="24"/>
          <w:szCs w:val="24"/>
        </w:rPr>
        <w:t xml:space="preserve"> </w:t>
      </w:r>
      <w:r w:rsidRPr="001F4F95">
        <w:rPr>
          <w:sz w:val="24"/>
          <w:szCs w:val="24"/>
        </w:rPr>
        <w:t>equity</w:t>
      </w:r>
      <w:r w:rsidRPr="001F4F95">
        <w:rPr>
          <w:spacing w:val="-6"/>
          <w:sz w:val="24"/>
          <w:szCs w:val="24"/>
        </w:rPr>
        <w:t xml:space="preserve"> </w:t>
      </w:r>
      <w:r w:rsidRPr="001F4F95">
        <w:rPr>
          <w:sz w:val="24"/>
          <w:szCs w:val="24"/>
        </w:rPr>
        <w:t>shares</w:t>
      </w:r>
      <w:r w:rsidRPr="001F4F95">
        <w:rPr>
          <w:spacing w:val="-6"/>
          <w:sz w:val="24"/>
          <w:szCs w:val="24"/>
        </w:rPr>
        <w:t xml:space="preserve"> </w:t>
      </w:r>
      <w:r w:rsidRPr="001F4F95">
        <w:rPr>
          <w:sz w:val="24"/>
          <w:szCs w:val="24"/>
        </w:rPr>
        <w:t>for</w:t>
      </w:r>
      <w:r w:rsidRPr="001F4F95">
        <w:rPr>
          <w:spacing w:val="-3"/>
          <w:sz w:val="24"/>
          <w:szCs w:val="24"/>
        </w:rPr>
        <w:t xml:space="preserve"> </w:t>
      </w:r>
      <w:r w:rsidRPr="001F4F95">
        <w:rPr>
          <w:sz w:val="24"/>
          <w:szCs w:val="24"/>
        </w:rPr>
        <w:t>dematerialization</w:t>
      </w:r>
      <w:r w:rsidRPr="001F4F95">
        <w:rPr>
          <w:spacing w:val="-4"/>
          <w:sz w:val="24"/>
          <w:szCs w:val="24"/>
        </w:rPr>
        <w:t xml:space="preserve"> </w:t>
      </w:r>
      <w:r w:rsidRPr="001F4F95">
        <w:rPr>
          <w:sz w:val="24"/>
          <w:szCs w:val="24"/>
        </w:rPr>
        <w:t>with</w:t>
      </w:r>
      <w:r w:rsidRPr="001F4F95">
        <w:rPr>
          <w:spacing w:val="-5"/>
          <w:sz w:val="24"/>
          <w:szCs w:val="24"/>
        </w:rPr>
        <w:t xml:space="preserve"> </w:t>
      </w:r>
      <w:r w:rsidRPr="001F4F95">
        <w:rPr>
          <w:sz w:val="24"/>
          <w:szCs w:val="24"/>
        </w:rPr>
        <w:t>Central</w:t>
      </w:r>
      <w:r w:rsidRPr="001F4F95">
        <w:rPr>
          <w:spacing w:val="-5"/>
          <w:sz w:val="24"/>
          <w:szCs w:val="24"/>
        </w:rPr>
        <w:t xml:space="preserve"> </w:t>
      </w:r>
      <w:r w:rsidRPr="001F4F95">
        <w:rPr>
          <w:sz w:val="24"/>
          <w:szCs w:val="24"/>
        </w:rPr>
        <w:t>Depository</w:t>
      </w:r>
      <w:r w:rsidRPr="001F4F95">
        <w:rPr>
          <w:spacing w:val="-7"/>
          <w:sz w:val="24"/>
          <w:szCs w:val="24"/>
        </w:rPr>
        <w:t xml:space="preserve"> </w:t>
      </w:r>
      <w:r w:rsidRPr="001F4F95">
        <w:rPr>
          <w:sz w:val="24"/>
          <w:szCs w:val="24"/>
        </w:rPr>
        <w:t>Services</w:t>
      </w:r>
      <w:r w:rsidRPr="001F4F95">
        <w:rPr>
          <w:spacing w:val="-6"/>
          <w:sz w:val="24"/>
          <w:szCs w:val="24"/>
        </w:rPr>
        <w:t xml:space="preserve"> </w:t>
      </w:r>
      <w:r w:rsidRPr="001F4F95">
        <w:rPr>
          <w:sz w:val="24"/>
          <w:szCs w:val="24"/>
        </w:rPr>
        <w:t>(India) Limited (hereinafter called “</w:t>
      </w:r>
      <w:r w:rsidRPr="001F4F95">
        <w:rPr>
          <w:b/>
          <w:sz w:val="24"/>
          <w:szCs w:val="24"/>
        </w:rPr>
        <w:t>CDSL</w:t>
      </w:r>
      <w:r w:rsidRPr="001F4F95">
        <w:rPr>
          <w:sz w:val="24"/>
          <w:szCs w:val="24"/>
        </w:rPr>
        <w:t>”).</w:t>
      </w:r>
    </w:p>
    <w:p w14:paraId="1B6EBCC7" w14:textId="77777777" w:rsidR="009F5045" w:rsidRDefault="009F5045">
      <w:pPr>
        <w:pStyle w:val="BodyText"/>
        <w:spacing w:before="41"/>
      </w:pPr>
    </w:p>
    <w:p w14:paraId="024CE601" w14:textId="410DA4E2" w:rsidR="009F5045" w:rsidRDefault="00000000">
      <w:pPr>
        <w:pStyle w:val="BodyText"/>
        <w:spacing w:line="278" w:lineRule="auto"/>
        <w:ind w:right="365"/>
        <w:jc w:val="both"/>
      </w:pPr>
      <w:r>
        <w:t>The Company places on record that it is fully aware of the following facts and law pertaining to Private Limited Companies:</w:t>
      </w:r>
    </w:p>
    <w:p w14:paraId="5B206152" w14:textId="77777777" w:rsidR="009F5045" w:rsidRDefault="009F5045">
      <w:pPr>
        <w:pStyle w:val="BodyText"/>
        <w:spacing w:before="37"/>
      </w:pPr>
    </w:p>
    <w:p w14:paraId="04426009" w14:textId="77777777" w:rsidR="009F5045" w:rsidRDefault="00000000">
      <w:pPr>
        <w:pStyle w:val="ListParagraph"/>
        <w:numPr>
          <w:ilvl w:val="0"/>
          <w:numId w:val="2"/>
        </w:numPr>
        <w:tabs>
          <w:tab w:val="left" w:pos="360"/>
        </w:tabs>
        <w:spacing w:line="276" w:lineRule="auto"/>
        <w:ind w:right="357"/>
        <w:rPr>
          <w:sz w:val="24"/>
        </w:rPr>
      </w:pPr>
      <w:r>
        <w:rPr>
          <w:sz w:val="24"/>
        </w:rPr>
        <w:t>That</w:t>
      </w:r>
      <w:r>
        <w:rPr>
          <w:spacing w:val="-3"/>
          <w:sz w:val="24"/>
        </w:rPr>
        <w:t xml:space="preserve"> </w:t>
      </w:r>
      <w:r>
        <w:rPr>
          <w:sz w:val="24"/>
        </w:rPr>
        <w:t>the</w:t>
      </w:r>
      <w:r>
        <w:rPr>
          <w:spacing w:val="-2"/>
          <w:sz w:val="24"/>
        </w:rPr>
        <w:t xml:space="preserve"> </w:t>
      </w:r>
      <w:r>
        <w:rPr>
          <w:sz w:val="24"/>
        </w:rPr>
        <w:t>right</w:t>
      </w:r>
      <w:r>
        <w:rPr>
          <w:spacing w:val="-3"/>
          <w:sz w:val="24"/>
        </w:rPr>
        <w:t xml:space="preserve"> </w:t>
      </w:r>
      <w:r>
        <w:rPr>
          <w:sz w:val="24"/>
        </w:rPr>
        <w:t>to</w:t>
      </w:r>
      <w:r>
        <w:rPr>
          <w:spacing w:val="-3"/>
          <w:sz w:val="24"/>
        </w:rPr>
        <w:t xml:space="preserve"> </w:t>
      </w:r>
      <w:r>
        <w:rPr>
          <w:sz w:val="24"/>
        </w:rPr>
        <w:t>transfer its</w:t>
      </w:r>
      <w:r>
        <w:rPr>
          <w:spacing w:val="-3"/>
          <w:sz w:val="24"/>
        </w:rPr>
        <w:t xml:space="preserve"> </w:t>
      </w:r>
      <w:r>
        <w:rPr>
          <w:sz w:val="24"/>
        </w:rPr>
        <w:t>shares</w:t>
      </w:r>
      <w:r>
        <w:rPr>
          <w:spacing w:val="-3"/>
          <w:sz w:val="24"/>
        </w:rPr>
        <w:t xml:space="preserve"> </w:t>
      </w:r>
      <w:r>
        <w:rPr>
          <w:sz w:val="24"/>
        </w:rPr>
        <w:t>is</w:t>
      </w:r>
      <w:r>
        <w:rPr>
          <w:spacing w:val="-1"/>
          <w:sz w:val="24"/>
        </w:rPr>
        <w:t xml:space="preserve"> </w:t>
      </w:r>
      <w:r>
        <w:rPr>
          <w:sz w:val="24"/>
        </w:rPr>
        <w:t>restricted</w:t>
      </w:r>
      <w:r>
        <w:rPr>
          <w:spacing w:val="-1"/>
          <w:sz w:val="24"/>
        </w:rPr>
        <w:t xml:space="preserve"> </w:t>
      </w:r>
      <w:r>
        <w:rPr>
          <w:sz w:val="24"/>
        </w:rPr>
        <w:t>under</w:t>
      </w:r>
      <w:r>
        <w:rPr>
          <w:spacing w:val="-3"/>
          <w:sz w:val="24"/>
        </w:rPr>
        <w:t xml:space="preserve"> </w:t>
      </w:r>
      <w:r>
        <w:rPr>
          <w:sz w:val="24"/>
        </w:rPr>
        <w:t>Sections 2(68)</w:t>
      </w:r>
      <w:r>
        <w:rPr>
          <w:spacing w:val="-2"/>
          <w:sz w:val="24"/>
        </w:rPr>
        <w:t xml:space="preserve"> </w:t>
      </w:r>
      <w:r>
        <w:rPr>
          <w:sz w:val="24"/>
        </w:rPr>
        <w:t>and</w:t>
      </w:r>
      <w:r>
        <w:rPr>
          <w:spacing w:val="-3"/>
          <w:sz w:val="24"/>
        </w:rPr>
        <w:t xml:space="preserve"> </w:t>
      </w:r>
      <w:r>
        <w:rPr>
          <w:sz w:val="24"/>
        </w:rPr>
        <w:t>56</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Companies Act, 2013;</w:t>
      </w:r>
    </w:p>
    <w:p w14:paraId="016AEA34" w14:textId="77777777" w:rsidR="009F5045" w:rsidRDefault="00000000">
      <w:pPr>
        <w:pStyle w:val="ListParagraph"/>
        <w:numPr>
          <w:ilvl w:val="0"/>
          <w:numId w:val="2"/>
        </w:numPr>
        <w:tabs>
          <w:tab w:val="left" w:pos="359"/>
        </w:tabs>
        <w:spacing w:before="1"/>
        <w:ind w:left="359" w:right="0" w:hanging="359"/>
        <w:rPr>
          <w:sz w:val="24"/>
        </w:rPr>
      </w:pPr>
      <w:r>
        <w:rPr>
          <w:sz w:val="24"/>
        </w:rPr>
        <w:t>The</w:t>
      </w:r>
      <w:r>
        <w:rPr>
          <w:spacing w:val="-2"/>
          <w:sz w:val="24"/>
        </w:rPr>
        <w:t xml:space="preserve"> </w:t>
      </w:r>
      <w:r>
        <w:rPr>
          <w:sz w:val="24"/>
        </w:rPr>
        <w:t>number</w:t>
      </w:r>
      <w:r>
        <w:rPr>
          <w:spacing w:val="-3"/>
          <w:sz w:val="24"/>
        </w:rPr>
        <w:t xml:space="preserve"> </w:t>
      </w:r>
      <w:r>
        <w:rPr>
          <w:sz w:val="24"/>
        </w:rPr>
        <w:t>of</w:t>
      </w:r>
      <w:r>
        <w:rPr>
          <w:spacing w:val="-1"/>
          <w:sz w:val="24"/>
        </w:rPr>
        <w:t xml:space="preserve"> </w:t>
      </w:r>
      <w:r>
        <w:rPr>
          <w:sz w:val="24"/>
        </w:rPr>
        <w:t>its members</w:t>
      </w:r>
      <w:r>
        <w:rPr>
          <w:spacing w:val="-1"/>
          <w:sz w:val="24"/>
        </w:rPr>
        <w:t xml:space="preserve"> </w:t>
      </w:r>
      <w:r>
        <w:rPr>
          <w:sz w:val="24"/>
        </w:rPr>
        <w:t>shall</w:t>
      </w:r>
      <w:r>
        <w:rPr>
          <w:spacing w:val="-1"/>
          <w:sz w:val="24"/>
        </w:rPr>
        <w:t xml:space="preserve"> </w:t>
      </w:r>
      <w:r>
        <w:rPr>
          <w:sz w:val="24"/>
        </w:rPr>
        <w:t>not exceed</w:t>
      </w:r>
      <w:r>
        <w:rPr>
          <w:spacing w:val="1"/>
          <w:sz w:val="24"/>
        </w:rPr>
        <w:t xml:space="preserve"> </w:t>
      </w:r>
      <w:r>
        <w:rPr>
          <w:sz w:val="24"/>
        </w:rPr>
        <w:t>two</w:t>
      </w:r>
      <w:r>
        <w:rPr>
          <w:spacing w:val="1"/>
          <w:sz w:val="24"/>
        </w:rPr>
        <w:t xml:space="preserve"> </w:t>
      </w:r>
      <w:r>
        <w:rPr>
          <w:sz w:val="24"/>
        </w:rPr>
        <w:t xml:space="preserve">hundred </w:t>
      </w:r>
      <w:r>
        <w:rPr>
          <w:spacing w:val="-5"/>
          <w:sz w:val="24"/>
        </w:rPr>
        <w:t>and</w:t>
      </w:r>
    </w:p>
    <w:p w14:paraId="7DA77174" w14:textId="77777777" w:rsidR="009F5045" w:rsidRDefault="00000000">
      <w:pPr>
        <w:pStyle w:val="ListParagraph"/>
        <w:numPr>
          <w:ilvl w:val="0"/>
          <w:numId w:val="2"/>
        </w:numPr>
        <w:tabs>
          <w:tab w:val="left" w:pos="360"/>
        </w:tabs>
        <w:spacing w:before="41" w:line="276" w:lineRule="auto"/>
        <w:rPr>
          <w:sz w:val="24"/>
        </w:rPr>
      </w:pPr>
      <w:r>
        <w:rPr>
          <w:sz w:val="24"/>
        </w:rPr>
        <w:t>That the Company is prohibited to invite the public to subscribe for any securities; under Section 2(68)(iii) of the Companies Act, 2013;</w:t>
      </w:r>
    </w:p>
    <w:p w14:paraId="1BB8618F" w14:textId="77777777" w:rsidR="009F5045" w:rsidRDefault="00000000">
      <w:pPr>
        <w:pStyle w:val="ListParagraph"/>
        <w:numPr>
          <w:ilvl w:val="0"/>
          <w:numId w:val="2"/>
        </w:numPr>
        <w:tabs>
          <w:tab w:val="left" w:pos="360"/>
        </w:tabs>
        <w:spacing w:line="278" w:lineRule="auto"/>
        <w:ind w:right="362"/>
        <w:rPr>
          <w:sz w:val="24"/>
        </w:rPr>
      </w:pPr>
      <w:r>
        <w:rPr>
          <w:sz w:val="24"/>
        </w:rPr>
        <w:t>The depository has no control over the transfer of shares in demat form in terms of Section 7(1) of the Depositories Act, 1996;</w:t>
      </w:r>
    </w:p>
    <w:p w14:paraId="0B83780E" w14:textId="77777777" w:rsidR="009F5045" w:rsidRDefault="00000000">
      <w:pPr>
        <w:pStyle w:val="ListParagraph"/>
        <w:numPr>
          <w:ilvl w:val="0"/>
          <w:numId w:val="2"/>
        </w:numPr>
        <w:tabs>
          <w:tab w:val="left" w:pos="360"/>
        </w:tabs>
        <w:spacing w:line="276" w:lineRule="auto"/>
        <w:ind w:right="365"/>
        <w:rPr>
          <w:sz w:val="24"/>
        </w:rPr>
      </w:pPr>
      <w:r>
        <w:rPr>
          <w:sz w:val="24"/>
        </w:rPr>
        <w:t>That</w:t>
      </w:r>
      <w:r>
        <w:rPr>
          <w:spacing w:val="-1"/>
          <w:sz w:val="24"/>
        </w:rPr>
        <w:t xml:space="preserve"> </w:t>
      </w:r>
      <w:r>
        <w:rPr>
          <w:sz w:val="24"/>
        </w:rPr>
        <w:t>the</w:t>
      </w:r>
      <w:r>
        <w:rPr>
          <w:spacing w:val="-2"/>
          <w:sz w:val="24"/>
        </w:rPr>
        <w:t xml:space="preserve"> </w:t>
      </w:r>
      <w:r>
        <w:rPr>
          <w:sz w:val="24"/>
        </w:rPr>
        <w:t>provisions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Depositories</w:t>
      </w:r>
      <w:r>
        <w:rPr>
          <w:spacing w:val="-1"/>
          <w:sz w:val="24"/>
        </w:rPr>
        <w:t xml:space="preserve"> </w:t>
      </w:r>
      <w:r>
        <w:rPr>
          <w:sz w:val="24"/>
        </w:rPr>
        <w:t>Act,</w:t>
      </w:r>
      <w:r>
        <w:rPr>
          <w:spacing w:val="-1"/>
          <w:sz w:val="24"/>
        </w:rPr>
        <w:t xml:space="preserve"> </w:t>
      </w:r>
      <w:r>
        <w:rPr>
          <w:sz w:val="24"/>
        </w:rPr>
        <w:t>1996 are</w:t>
      </w:r>
      <w:r>
        <w:rPr>
          <w:spacing w:val="-3"/>
          <w:sz w:val="24"/>
        </w:rPr>
        <w:t xml:space="preserve"> </w:t>
      </w:r>
      <w:r>
        <w:rPr>
          <w:sz w:val="24"/>
        </w:rPr>
        <w:t>in</w:t>
      </w:r>
      <w:r>
        <w:rPr>
          <w:spacing w:val="-1"/>
          <w:sz w:val="24"/>
        </w:rPr>
        <w:t xml:space="preserve"> </w:t>
      </w:r>
      <w:r>
        <w:rPr>
          <w:sz w:val="24"/>
        </w:rPr>
        <w:t>addition</w:t>
      </w:r>
      <w:r>
        <w:rPr>
          <w:spacing w:val="-1"/>
          <w:sz w:val="24"/>
        </w:rPr>
        <w:t xml:space="preserve"> </w:t>
      </w:r>
      <w:r>
        <w:rPr>
          <w:sz w:val="24"/>
        </w:rPr>
        <w:t>and</w:t>
      </w:r>
      <w:r>
        <w:rPr>
          <w:spacing w:val="-1"/>
          <w:sz w:val="24"/>
        </w:rPr>
        <w:t xml:space="preserve"> </w:t>
      </w:r>
      <w:r>
        <w:rPr>
          <w:sz w:val="24"/>
        </w:rPr>
        <w:t>not</w:t>
      </w:r>
      <w:r>
        <w:rPr>
          <w:spacing w:val="-1"/>
          <w:sz w:val="24"/>
        </w:rPr>
        <w:t xml:space="preserve"> </w:t>
      </w:r>
      <w:r>
        <w:rPr>
          <w:sz w:val="24"/>
        </w:rPr>
        <w:t>in</w:t>
      </w:r>
      <w:r>
        <w:rPr>
          <w:spacing w:val="-1"/>
          <w:sz w:val="24"/>
        </w:rPr>
        <w:t xml:space="preserve"> </w:t>
      </w:r>
      <w:r>
        <w:rPr>
          <w:sz w:val="24"/>
        </w:rPr>
        <w:t>derogation</w:t>
      </w:r>
      <w:r>
        <w:rPr>
          <w:spacing w:val="-1"/>
          <w:sz w:val="24"/>
        </w:rPr>
        <w:t xml:space="preserve"> </w:t>
      </w:r>
      <w:r>
        <w:rPr>
          <w:sz w:val="24"/>
        </w:rPr>
        <w:t>of</w:t>
      </w:r>
      <w:r>
        <w:rPr>
          <w:spacing w:val="-2"/>
          <w:sz w:val="24"/>
        </w:rPr>
        <w:t xml:space="preserve"> </w:t>
      </w:r>
      <w:r>
        <w:rPr>
          <w:sz w:val="24"/>
        </w:rPr>
        <w:t>any other law for the time being in force relating to the holding and transfer of securities in terms of Section 28 of the Depositories Act, 1996.</w:t>
      </w:r>
    </w:p>
    <w:p w14:paraId="4DA1610A" w14:textId="77777777" w:rsidR="009F5045" w:rsidRDefault="009F5045">
      <w:pPr>
        <w:pStyle w:val="BodyText"/>
        <w:spacing w:before="36"/>
      </w:pPr>
    </w:p>
    <w:p w14:paraId="4314A010" w14:textId="77777777" w:rsidR="009F5045" w:rsidRDefault="00000000">
      <w:pPr>
        <w:pStyle w:val="BodyText"/>
        <w:spacing w:before="1"/>
        <w:jc w:val="both"/>
      </w:pPr>
      <w:r>
        <w:t>We</w:t>
      </w:r>
      <w:r>
        <w:rPr>
          <w:spacing w:val="-2"/>
        </w:rPr>
        <w:t xml:space="preserve"> </w:t>
      </w:r>
      <w:r>
        <w:t>hereby confirm</w:t>
      </w:r>
      <w:r>
        <w:rPr>
          <w:spacing w:val="-1"/>
        </w:rPr>
        <w:t xml:space="preserve"> </w:t>
      </w:r>
      <w:r>
        <w:t xml:space="preserve">and </w:t>
      </w:r>
      <w:r>
        <w:rPr>
          <w:spacing w:val="-2"/>
        </w:rPr>
        <w:t>undertake:</w:t>
      </w:r>
    </w:p>
    <w:p w14:paraId="094D6114" w14:textId="77777777" w:rsidR="009F5045" w:rsidRDefault="009F5045">
      <w:pPr>
        <w:pStyle w:val="BodyText"/>
        <w:spacing w:before="81"/>
      </w:pPr>
    </w:p>
    <w:p w14:paraId="7891F8E1" w14:textId="77777777" w:rsidR="009F5045" w:rsidRDefault="00000000">
      <w:pPr>
        <w:pStyle w:val="BodyText"/>
        <w:spacing w:line="276" w:lineRule="auto"/>
        <w:ind w:left="360" w:right="355" w:hanging="360"/>
        <w:jc w:val="both"/>
      </w:pPr>
      <w:r>
        <w:t>1.</w:t>
      </w:r>
      <w:r>
        <w:rPr>
          <w:spacing w:val="40"/>
        </w:rPr>
        <w:t xml:space="preserve"> </w:t>
      </w:r>
      <w:r>
        <w:t>That the Company shall at all times ensure that the provisions of the Companies Act 2013, Securities and Exchange Board of India Act, 1992 and SEBI (Depositories and Participants) Regulations, 2018</w:t>
      </w:r>
      <w:r>
        <w:rPr>
          <w:spacing w:val="40"/>
        </w:rPr>
        <w:t xml:space="preserve"> </w:t>
      </w:r>
      <w:r>
        <w:t xml:space="preserve">and all other applicable Rules and Regulations including those made by SEBI from time to time relating to the admission/issuance allotment, transfer, dematerialization and </w:t>
      </w:r>
      <w:proofErr w:type="spellStart"/>
      <w:r>
        <w:t>rematerialization</w:t>
      </w:r>
      <w:proofErr w:type="spellEnd"/>
      <w:r>
        <w:t xml:space="preserve"> etc., are duly complied with and shall further ensure that the Company duly observes and performs all its obligations there under.</w:t>
      </w:r>
    </w:p>
    <w:p w14:paraId="0C1F3CEA" w14:textId="77777777" w:rsidR="004949C0" w:rsidRDefault="004949C0">
      <w:pPr>
        <w:pStyle w:val="BodyText"/>
        <w:spacing w:line="276" w:lineRule="auto"/>
        <w:ind w:left="360" w:right="355" w:hanging="360"/>
        <w:jc w:val="both"/>
      </w:pPr>
    </w:p>
    <w:p w14:paraId="1305CDEC" w14:textId="77777777" w:rsidR="009F5045" w:rsidRDefault="00000000">
      <w:pPr>
        <w:pStyle w:val="BodyText"/>
        <w:spacing w:before="2" w:line="276" w:lineRule="auto"/>
        <w:ind w:left="360" w:right="358" w:hanging="360"/>
        <w:jc w:val="both"/>
      </w:pPr>
      <w:r>
        <w:t>2</w:t>
      </w:r>
      <w:r>
        <w:rPr>
          <w:spacing w:val="80"/>
          <w:w w:val="150"/>
        </w:rPr>
        <w:t xml:space="preserve"> </w:t>
      </w:r>
      <w:r>
        <w:t>The</w:t>
      </w:r>
      <w:r>
        <w:rPr>
          <w:spacing w:val="-15"/>
        </w:rPr>
        <w:t xml:space="preserve"> </w:t>
      </w:r>
      <w:r>
        <w:t>Company</w:t>
      </w:r>
      <w:r>
        <w:rPr>
          <w:spacing w:val="-15"/>
        </w:rPr>
        <w:t xml:space="preserve"> </w:t>
      </w:r>
      <w:r>
        <w:t>shall</w:t>
      </w:r>
      <w:r>
        <w:rPr>
          <w:spacing w:val="-12"/>
        </w:rPr>
        <w:t xml:space="preserve"> </w:t>
      </w:r>
      <w:r>
        <w:t>regularly</w:t>
      </w:r>
      <w:r>
        <w:rPr>
          <w:spacing w:val="-15"/>
        </w:rPr>
        <w:t xml:space="preserve"> </w:t>
      </w:r>
      <w:r>
        <w:t>and</w:t>
      </w:r>
      <w:r>
        <w:rPr>
          <w:spacing w:val="-13"/>
        </w:rPr>
        <w:t xml:space="preserve"> </w:t>
      </w:r>
      <w:r>
        <w:t>diligently</w:t>
      </w:r>
      <w:r>
        <w:rPr>
          <w:spacing w:val="-15"/>
        </w:rPr>
        <w:t xml:space="preserve"> </w:t>
      </w:r>
      <w:r>
        <w:t>reconcile</w:t>
      </w:r>
      <w:r>
        <w:rPr>
          <w:spacing w:val="-15"/>
        </w:rPr>
        <w:t xml:space="preserve"> </w:t>
      </w:r>
      <w:r>
        <w:t>its</w:t>
      </w:r>
      <w:r>
        <w:rPr>
          <w:spacing w:val="-15"/>
        </w:rPr>
        <w:t xml:space="preserve"> </w:t>
      </w:r>
      <w:r>
        <w:t>dematerialized</w:t>
      </w:r>
      <w:r>
        <w:rPr>
          <w:spacing w:val="-15"/>
        </w:rPr>
        <w:t xml:space="preserve"> </w:t>
      </w:r>
      <w:r>
        <w:t>and</w:t>
      </w:r>
      <w:r>
        <w:rPr>
          <w:spacing w:val="-11"/>
        </w:rPr>
        <w:t xml:space="preserve"> </w:t>
      </w:r>
      <w:r>
        <w:t>physical</w:t>
      </w:r>
      <w:r>
        <w:rPr>
          <w:spacing w:val="-15"/>
        </w:rPr>
        <w:t xml:space="preserve"> </w:t>
      </w:r>
      <w:r>
        <w:t>securities and shall in particular ensure that the aggregate of (</w:t>
      </w:r>
      <w:proofErr w:type="spellStart"/>
      <w:r>
        <w:t>i</w:t>
      </w:r>
      <w:proofErr w:type="spellEnd"/>
      <w:r>
        <w:t>) the dematerialized securities (in all depositories taken together) and (ii) those held in physical form and those pending dematerialization does not exceed the issued capital of the Company.</w:t>
      </w:r>
    </w:p>
    <w:p w14:paraId="0B852EF2" w14:textId="77777777" w:rsidR="004949C0" w:rsidRDefault="004949C0">
      <w:pPr>
        <w:pStyle w:val="BodyText"/>
        <w:spacing w:before="2" w:line="276" w:lineRule="auto"/>
        <w:ind w:left="360" w:right="358" w:hanging="360"/>
        <w:jc w:val="both"/>
      </w:pPr>
    </w:p>
    <w:p w14:paraId="60B985B6" w14:textId="77777777" w:rsidR="009F5045" w:rsidRDefault="00000000">
      <w:pPr>
        <w:pStyle w:val="ListParagraph"/>
        <w:numPr>
          <w:ilvl w:val="0"/>
          <w:numId w:val="1"/>
        </w:numPr>
        <w:tabs>
          <w:tab w:val="left" w:pos="360"/>
        </w:tabs>
        <w:spacing w:line="276" w:lineRule="auto"/>
        <w:ind w:right="363"/>
        <w:rPr>
          <w:sz w:val="24"/>
        </w:rPr>
      </w:pPr>
      <w:r>
        <w:rPr>
          <w:sz w:val="24"/>
        </w:rPr>
        <w:t>The</w:t>
      </w:r>
      <w:r>
        <w:rPr>
          <w:spacing w:val="-4"/>
          <w:sz w:val="24"/>
        </w:rPr>
        <w:t xml:space="preserve"> </w:t>
      </w:r>
      <w:r>
        <w:rPr>
          <w:sz w:val="24"/>
        </w:rPr>
        <w:t>Company</w:t>
      </w:r>
      <w:r>
        <w:rPr>
          <w:spacing w:val="-3"/>
          <w:sz w:val="24"/>
        </w:rPr>
        <w:t xml:space="preserve"> </w:t>
      </w:r>
      <w:r>
        <w:rPr>
          <w:sz w:val="24"/>
        </w:rPr>
        <w:t>agrees,</w:t>
      </w:r>
      <w:r>
        <w:rPr>
          <w:spacing w:val="-2"/>
          <w:sz w:val="24"/>
        </w:rPr>
        <w:t xml:space="preserve"> </w:t>
      </w:r>
      <w:r>
        <w:rPr>
          <w:sz w:val="24"/>
        </w:rPr>
        <w:t>declares</w:t>
      </w:r>
      <w:r>
        <w:rPr>
          <w:spacing w:val="-2"/>
          <w:sz w:val="24"/>
        </w:rPr>
        <w:t xml:space="preserve"> </w:t>
      </w:r>
      <w:r>
        <w:rPr>
          <w:sz w:val="24"/>
        </w:rPr>
        <w:t>and confirms</w:t>
      </w:r>
      <w:r>
        <w:rPr>
          <w:spacing w:val="-2"/>
          <w:sz w:val="24"/>
        </w:rPr>
        <w:t xml:space="preserve"> </w:t>
      </w:r>
      <w:r>
        <w:rPr>
          <w:sz w:val="24"/>
        </w:rPr>
        <w:t>that</w:t>
      </w:r>
      <w:r>
        <w:rPr>
          <w:spacing w:val="-2"/>
          <w:sz w:val="24"/>
        </w:rPr>
        <w:t xml:space="preserve"> </w:t>
      </w:r>
      <w:r>
        <w:rPr>
          <w:sz w:val="24"/>
        </w:rPr>
        <w:t>the</w:t>
      </w:r>
      <w:r>
        <w:rPr>
          <w:spacing w:val="-3"/>
          <w:sz w:val="24"/>
        </w:rPr>
        <w:t xml:space="preserve"> </w:t>
      </w:r>
      <w:r>
        <w:rPr>
          <w:sz w:val="24"/>
        </w:rPr>
        <w:t>reconciliation</w:t>
      </w:r>
      <w:r>
        <w:rPr>
          <w:spacing w:val="-2"/>
          <w:sz w:val="24"/>
        </w:rPr>
        <w:t xml:space="preserve"> </w:t>
      </w:r>
      <w:r>
        <w:rPr>
          <w:sz w:val="24"/>
        </w:rPr>
        <w:t>of</w:t>
      </w:r>
      <w:r>
        <w:rPr>
          <w:spacing w:val="-3"/>
          <w:sz w:val="24"/>
        </w:rPr>
        <w:t xml:space="preserve"> </w:t>
      </w:r>
      <w:r>
        <w:rPr>
          <w:sz w:val="24"/>
        </w:rPr>
        <w:t>its</w:t>
      </w:r>
      <w:r>
        <w:rPr>
          <w:spacing w:val="-2"/>
          <w:sz w:val="24"/>
        </w:rPr>
        <w:t xml:space="preserve"> </w:t>
      </w:r>
      <w:r>
        <w:rPr>
          <w:sz w:val="24"/>
        </w:rPr>
        <w:t>securities</w:t>
      </w:r>
      <w:r>
        <w:rPr>
          <w:spacing w:val="-2"/>
          <w:sz w:val="24"/>
        </w:rPr>
        <w:t xml:space="preserve"> </w:t>
      </w:r>
      <w:r>
        <w:rPr>
          <w:sz w:val="24"/>
        </w:rPr>
        <w:t>(including dematerialized securities) is the sole obligation of the Company and its RTA, if any, and the Company shall not look to CDSL or hold CDSL liable or responsible in this behalf.</w:t>
      </w:r>
    </w:p>
    <w:p w14:paraId="21D3B0C4" w14:textId="77777777" w:rsidR="009F5045" w:rsidRDefault="009F5045">
      <w:pPr>
        <w:pStyle w:val="ListParagraph"/>
        <w:spacing w:line="276" w:lineRule="auto"/>
        <w:rPr>
          <w:sz w:val="24"/>
        </w:rPr>
      </w:pPr>
    </w:p>
    <w:p w14:paraId="63B3172E" w14:textId="77777777" w:rsidR="00B955A4" w:rsidRDefault="00B955A4">
      <w:pPr>
        <w:pStyle w:val="ListParagraph"/>
        <w:spacing w:line="276" w:lineRule="auto"/>
        <w:rPr>
          <w:sz w:val="24"/>
        </w:rPr>
      </w:pPr>
    </w:p>
    <w:p w14:paraId="58001A57" w14:textId="689B6FD5" w:rsidR="00B955A4" w:rsidRDefault="00B955A4">
      <w:pPr>
        <w:pStyle w:val="ListParagraph"/>
        <w:spacing w:line="276" w:lineRule="auto"/>
        <w:rPr>
          <w:b/>
          <w:bCs/>
          <w:color w:val="FF0000"/>
          <w:sz w:val="24"/>
          <w:szCs w:val="24"/>
        </w:rPr>
      </w:pPr>
      <w:r>
        <w:rPr>
          <w:sz w:val="24"/>
        </w:rPr>
        <w:t xml:space="preserve">                                                  </w:t>
      </w:r>
      <w:r w:rsidRPr="00B35B4B">
        <w:rPr>
          <w:b/>
          <w:bCs/>
          <w:color w:val="FF0000"/>
          <w:sz w:val="24"/>
          <w:szCs w:val="24"/>
        </w:rPr>
        <w:t>DSC OF AUTHORISED SIGNATORY</w:t>
      </w:r>
    </w:p>
    <w:p w14:paraId="484B930C" w14:textId="110DC70A" w:rsidR="00B955A4" w:rsidRDefault="00B955A4">
      <w:pPr>
        <w:pStyle w:val="ListParagraph"/>
        <w:spacing w:line="276" w:lineRule="auto"/>
        <w:rPr>
          <w:sz w:val="24"/>
        </w:rPr>
        <w:sectPr w:rsidR="00B955A4" w:rsidSect="00E77BBC">
          <w:type w:val="continuous"/>
          <w:pgSz w:w="12240" w:h="15840"/>
          <w:pgMar w:top="270" w:right="1080" w:bottom="280" w:left="1440" w:header="450" w:footer="720" w:gutter="0"/>
          <w:cols w:space="720"/>
        </w:sectPr>
      </w:pPr>
    </w:p>
    <w:p w14:paraId="16551DD6" w14:textId="77777777" w:rsidR="009F5045" w:rsidRDefault="00000000">
      <w:pPr>
        <w:pStyle w:val="ListParagraph"/>
        <w:numPr>
          <w:ilvl w:val="0"/>
          <w:numId w:val="1"/>
        </w:numPr>
        <w:tabs>
          <w:tab w:val="left" w:pos="269"/>
          <w:tab w:val="left" w:pos="271"/>
        </w:tabs>
        <w:spacing w:before="79" w:line="276" w:lineRule="auto"/>
        <w:ind w:left="271" w:hanging="272"/>
        <w:rPr>
          <w:rFonts w:ascii="Calibri"/>
        </w:rPr>
      </w:pPr>
      <w:r>
        <w:rPr>
          <w:sz w:val="24"/>
        </w:rPr>
        <w:lastRenderedPageBreak/>
        <w:t>The Company agrees and undertakes to indemnify and keep indemnified and harmless CDSL, its Directors and employees, from and against any and all liability resulting from claims, demands,</w:t>
      </w:r>
      <w:r>
        <w:rPr>
          <w:spacing w:val="-11"/>
          <w:sz w:val="24"/>
        </w:rPr>
        <w:t xml:space="preserve"> </w:t>
      </w:r>
      <w:r>
        <w:rPr>
          <w:sz w:val="24"/>
        </w:rPr>
        <w:t>penalties,</w:t>
      </w:r>
      <w:r>
        <w:rPr>
          <w:spacing w:val="-11"/>
          <w:sz w:val="24"/>
        </w:rPr>
        <w:t xml:space="preserve"> </w:t>
      </w:r>
      <w:r>
        <w:rPr>
          <w:sz w:val="24"/>
        </w:rPr>
        <w:t>suits</w:t>
      </w:r>
      <w:r>
        <w:rPr>
          <w:spacing w:val="-8"/>
          <w:sz w:val="24"/>
        </w:rPr>
        <w:t xml:space="preserve"> </w:t>
      </w:r>
      <w:r>
        <w:rPr>
          <w:sz w:val="24"/>
        </w:rPr>
        <w:t>and</w:t>
      </w:r>
      <w:r>
        <w:rPr>
          <w:spacing w:val="-11"/>
          <w:sz w:val="24"/>
        </w:rPr>
        <w:t xml:space="preserve"> </w:t>
      </w:r>
      <w:r>
        <w:rPr>
          <w:sz w:val="24"/>
        </w:rPr>
        <w:t>judgements</w:t>
      </w:r>
      <w:r>
        <w:rPr>
          <w:spacing w:val="-8"/>
          <w:sz w:val="24"/>
        </w:rPr>
        <w:t xml:space="preserve"> </w:t>
      </w:r>
      <w:r>
        <w:rPr>
          <w:sz w:val="24"/>
        </w:rPr>
        <w:t>and</w:t>
      </w:r>
      <w:r>
        <w:rPr>
          <w:spacing w:val="-11"/>
          <w:sz w:val="24"/>
        </w:rPr>
        <w:t xml:space="preserve"> </w:t>
      </w:r>
      <w:r>
        <w:rPr>
          <w:sz w:val="24"/>
        </w:rPr>
        <w:t>all</w:t>
      </w:r>
      <w:r>
        <w:rPr>
          <w:spacing w:val="-8"/>
          <w:sz w:val="24"/>
        </w:rPr>
        <w:t xml:space="preserve"> </w:t>
      </w:r>
      <w:r>
        <w:rPr>
          <w:sz w:val="24"/>
        </w:rPr>
        <w:t>costs,</w:t>
      </w:r>
      <w:r>
        <w:rPr>
          <w:spacing w:val="-11"/>
          <w:sz w:val="24"/>
        </w:rPr>
        <w:t xml:space="preserve"> </w:t>
      </w:r>
      <w:r>
        <w:rPr>
          <w:sz w:val="24"/>
        </w:rPr>
        <w:t>charges</w:t>
      </w:r>
      <w:r>
        <w:rPr>
          <w:spacing w:val="-10"/>
          <w:sz w:val="24"/>
        </w:rPr>
        <w:t xml:space="preserve"> </w:t>
      </w:r>
      <w:r>
        <w:rPr>
          <w:sz w:val="24"/>
        </w:rPr>
        <w:t>and</w:t>
      </w:r>
      <w:r>
        <w:rPr>
          <w:spacing w:val="-9"/>
          <w:sz w:val="24"/>
        </w:rPr>
        <w:t xml:space="preserve"> </w:t>
      </w:r>
      <w:r>
        <w:rPr>
          <w:sz w:val="24"/>
        </w:rPr>
        <w:t>expenses</w:t>
      </w:r>
      <w:r>
        <w:rPr>
          <w:spacing w:val="-10"/>
          <w:sz w:val="24"/>
        </w:rPr>
        <w:t xml:space="preserve"> </w:t>
      </w:r>
      <w:r>
        <w:rPr>
          <w:sz w:val="24"/>
        </w:rPr>
        <w:t>relating</w:t>
      </w:r>
      <w:r>
        <w:rPr>
          <w:spacing w:val="-10"/>
          <w:sz w:val="24"/>
        </w:rPr>
        <w:t xml:space="preserve"> </w:t>
      </w:r>
      <w:r>
        <w:rPr>
          <w:sz w:val="24"/>
        </w:rPr>
        <w:t>thereto</w:t>
      </w:r>
      <w:r>
        <w:rPr>
          <w:spacing w:val="-8"/>
          <w:sz w:val="24"/>
        </w:rPr>
        <w:t xml:space="preserve"> </w:t>
      </w:r>
      <w:r>
        <w:rPr>
          <w:sz w:val="24"/>
        </w:rPr>
        <w:t>as a result of a breach by the Company of its covenants as stated hereinabove.</w:t>
      </w:r>
    </w:p>
    <w:p w14:paraId="5A66527D" w14:textId="77777777" w:rsidR="009F5045" w:rsidRDefault="009F5045">
      <w:pPr>
        <w:pStyle w:val="BodyText"/>
      </w:pPr>
    </w:p>
    <w:p w14:paraId="227764A5" w14:textId="77777777" w:rsidR="009F5045" w:rsidRDefault="009F5045">
      <w:pPr>
        <w:pStyle w:val="BodyText"/>
      </w:pPr>
    </w:p>
    <w:p w14:paraId="595CE29C" w14:textId="77777777" w:rsidR="009F5045" w:rsidRDefault="009F5045">
      <w:pPr>
        <w:pStyle w:val="BodyText"/>
        <w:spacing w:before="7"/>
      </w:pPr>
    </w:p>
    <w:p w14:paraId="5B6E5E40" w14:textId="77777777" w:rsidR="009F5045" w:rsidRDefault="00000000">
      <w:pPr>
        <w:pStyle w:val="BodyText"/>
        <w:spacing w:before="1"/>
      </w:pPr>
      <w:r>
        <w:t>Yours</w:t>
      </w:r>
      <w:r>
        <w:rPr>
          <w:spacing w:val="-2"/>
        </w:rPr>
        <w:t xml:space="preserve"> faithfully,</w:t>
      </w:r>
    </w:p>
    <w:p w14:paraId="3422A673" w14:textId="77777777" w:rsidR="009F5045" w:rsidRDefault="009F5045">
      <w:pPr>
        <w:pStyle w:val="BodyText"/>
        <w:spacing w:before="81"/>
      </w:pPr>
    </w:p>
    <w:p w14:paraId="25488779" w14:textId="1CFAAA67" w:rsidR="001F4F95" w:rsidRPr="00C46790" w:rsidRDefault="001F4F95" w:rsidP="001F4F95">
      <w:pPr>
        <w:pStyle w:val="Header"/>
        <w:rPr>
          <w:b/>
          <w:bCs/>
          <w:sz w:val="32"/>
          <w:szCs w:val="32"/>
        </w:rPr>
      </w:pPr>
      <w:r w:rsidRPr="00ED5463">
        <w:rPr>
          <w:b/>
          <w:bCs/>
          <w:sz w:val="24"/>
        </w:rPr>
        <w:t>For</w:t>
      </w:r>
      <w:r>
        <w:rPr>
          <w:spacing w:val="-2"/>
          <w:sz w:val="24"/>
        </w:rPr>
        <w:t xml:space="preserve"> </w:t>
      </w:r>
      <w:r w:rsidR="001E3EA9">
        <w:rPr>
          <w:b/>
          <w:bCs/>
          <w:sz w:val="24"/>
          <w:szCs w:val="24"/>
        </w:rPr>
        <w:t>…………………………</w:t>
      </w:r>
    </w:p>
    <w:p w14:paraId="6A81FC01" w14:textId="77777777" w:rsidR="001F4F95" w:rsidRDefault="001F4F95" w:rsidP="001F4F95">
      <w:pPr>
        <w:rPr>
          <w:b/>
          <w:sz w:val="24"/>
        </w:rPr>
      </w:pPr>
    </w:p>
    <w:p w14:paraId="17ADA468" w14:textId="61B4F6C7" w:rsidR="001F4F95" w:rsidRDefault="00B955A4" w:rsidP="001F4F95">
      <w:pPr>
        <w:pStyle w:val="BodyText"/>
        <w:rPr>
          <w:b/>
        </w:rPr>
      </w:pPr>
      <w:r w:rsidRPr="00B35B4B">
        <w:rPr>
          <w:color w:val="FF0000"/>
        </w:rPr>
        <w:t>Manual Signature</w:t>
      </w:r>
      <w:r>
        <w:rPr>
          <w:color w:val="FF0000"/>
        </w:rPr>
        <w:t xml:space="preserve">                                                                           </w:t>
      </w:r>
    </w:p>
    <w:p w14:paraId="7B88EEC9" w14:textId="77777777" w:rsidR="001F4F95" w:rsidRDefault="001F4F95" w:rsidP="001F4F95">
      <w:pPr>
        <w:pStyle w:val="BodyText"/>
        <w:rPr>
          <w:b/>
        </w:rPr>
      </w:pPr>
    </w:p>
    <w:p w14:paraId="0A3ECA1D" w14:textId="10ED632B" w:rsidR="001F4F95" w:rsidRDefault="001E3EA9" w:rsidP="001F4F95">
      <w:pPr>
        <w:rPr>
          <w:b/>
          <w:sz w:val="24"/>
        </w:rPr>
      </w:pPr>
      <w:r>
        <w:rPr>
          <w:b/>
          <w:sz w:val="24"/>
        </w:rPr>
        <w:t>…………….</w:t>
      </w:r>
    </w:p>
    <w:p w14:paraId="25DC6D57" w14:textId="77777777" w:rsidR="001F4F95" w:rsidRDefault="001F4F95" w:rsidP="001F4F95">
      <w:pPr>
        <w:rPr>
          <w:b/>
          <w:sz w:val="24"/>
        </w:rPr>
      </w:pPr>
      <w:r>
        <w:rPr>
          <w:b/>
          <w:sz w:val="24"/>
        </w:rPr>
        <w:t>(Director)</w:t>
      </w:r>
    </w:p>
    <w:p w14:paraId="00886020" w14:textId="5C20F156" w:rsidR="009F5045" w:rsidRDefault="00B955A4" w:rsidP="001F4F95">
      <w:pPr>
        <w:rPr>
          <w:b/>
          <w:sz w:val="24"/>
        </w:rPr>
      </w:pPr>
      <w:r>
        <w:rPr>
          <w:b/>
          <w:sz w:val="24"/>
        </w:rPr>
        <w:t xml:space="preserve">                                                         </w:t>
      </w:r>
      <w:r w:rsidRPr="00B35B4B">
        <w:rPr>
          <w:b/>
          <w:bCs/>
          <w:color w:val="FF0000"/>
          <w:sz w:val="24"/>
          <w:szCs w:val="24"/>
        </w:rPr>
        <w:t>DSC OF AUTHORISED SIGNATORY</w:t>
      </w:r>
    </w:p>
    <w:sectPr w:rsidR="009F5045" w:rsidSect="00E77BBC">
      <w:pgSz w:w="12240" w:h="15840"/>
      <w:pgMar w:top="81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6A85" w14:textId="77777777" w:rsidR="004B28DD" w:rsidRDefault="004B28DD" w:rsidP="00E77BBC">
      <w:r>
        <w:separator/>
      </w:r>
    </w:p>
  </w:endnote>
  <w:endnote w:type="continuationSeparator" w:id="0">
    <w:p w14:paraId="5B996C9A" w14:textId="77777777" w:rsidR="004B28DD" w:rsidRDefault="004B28DD" w:rsidP="00E77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270AF" w14:textId="77777777" w:rsidR="004B28DD" w:rsidRDefault="004B28DD" w:rsidP="00E77BBC">
      <w:r>
        <w:separator/>
      </w:r>
    </w:p>
  </w:footnote>
  <w:footnote w:type="continuationSeparator" w:id="0">
    <w:p w14:paraId="67D743BC" w14:textId="77777777" w:rsidR="004B28DD" w:rsidRDefault="004B28DD" w:rsidP="00E77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363EB"/>
    <w:multiLevelType w:val="hybridMultilevel"/>
    <w:tmpl w:val="FD986660"/>
    <w:lvl w:ilvl="0" w:tplc="E8BAD802">
      <w:start w:val="3"/>
      <w:numFmt w:val="decimal"/>
      <w:lvlText w:val="%1."/>
      <w:lvlJc w:val="left"/>
      <w:pPr>
        <w:ind w:left="360" w:hanging="360"/>
      </w:pPr>
      <w:rPr>
        <w:rFonts w:hint="default"/>
        <w:spacing w:val="0"/>
        <w:w w:val="100"/>
        <w:lang w:val="en-US" w:eastAsia="en-US" w:bidi="ar-SA"/>
      </w:rPr>
    </w:lvl>
    <w:lvl w:ilvl="1" w:tplc="78328A2C">
      <w:numFmt w:val="bullet"/>
      <w:lvlText w:val="•"/>
      <w:lvlJc w:val="left"/>
      <w:pPr>
        <w:ind w:left="1296" w:hanging="360"/>
      </w:pPr>
      <w:rPr>
        <w:rFonts w:hint="default"/>
        <w:lang w:val="en-US" w:eastAsia="en-US" w:bidi="ar-SA"/>
      </w:rPr>
    </w:lvl>
    <w:lvl w:ilvl="2" w:tplc="23C47F32">
      <w:numFmt w:val="bullet"/>
      <w:lvlText w:val="•"/>
      <w:lvlJc w:val="left"/>
      <w:pPr>
        <w:ind w:left="2232" w:hanging="360"/>
      </w:pPr>
      <w:rPr>
        <w:rFonts w:hint="default"/>
        <w:lang w:val="en-US" w:eastAsia="en-US" w:bidi="ar-SA"/>
      </w:rPr>
    </w:lvl>
    <w:lvl w:ilvl="3" w:tplc="07E88FC0">
      <w:numFmt w:val="bullet"/>
      <w:lvlText w:val="•"/>
      <w:lvlJc w:val="left"/>
      <w:pPr>
        <w:ind w:left="3168" w:hanging="360"/>
      </w:pPr>
      <w:rPr>
        <w:rFonts w:hint="default"/>
        <w:lang w:val="en-US" w:eastAsia="en-US" w:bidi="ar-SA"/>
      </w:rPr>
    </w:lvl>
    <w:lvl w:ilvl="4" w:tplc="25267EEC">
      <w:numFmt w:val="bullet"/>
      <w:lvlText w:val="•"/>
      <w:lvlJc w:val="left"/>
      <w:pPr>
        <w:ind w:left="4104" w:hanging="360"/>
      </w:pPr>
      <w:rPr>
        <w:rFonts w:hint="default"/>
        <w:lang w:val="en-US" w:eastAsia="en-US" w:bidi="ar-SA"/>
      </w:rPr>
    </w:lvl>
    <w:lvl w:ilvl="5" w:tplc="B70E1C78">
      <w:numFmt w:val="bullet"/>
      <w:lvlText w:val="•"/>
      <w:lvlJc w:val="left"/>
      <w:pPr>
        <w:ind w:left="5040" w:hanging="360"/>
      </w:pPr>
      <w:rPr>
        <w:rFonts w:hint="default"/>
        <w:lang w:val="en-US" w:eastAsia="en-US" w:bidi="ar-SA"/>
      </w:rPr>
    </w:lvl>
    <w:lvl w:ilvl="6" w:tplc="AF10A9A2">
      <w:numFmt w:val="bullet"/>
      <w:lvlText w:val="•"/>
      <w:lvlJc w:val="left"/>
      <w:pPr>
        <w:ind w:left="5976" w:hanging="360"/>
      </w:pPr>
      <w:rPr>
        <w:rFonts w:hint="default"/>
        <w:lang w:val="en-US" w:eastAsia="en-US" w:bidi="ar-SA"/>
      </w:rPr>
    </w:lvl>
    <w:lvl w:ilvl="7" w:tplc="40C638B0">
      <w:numFmt w:val="bullet"/>
      <w:lvlText w:val="•"/>
      <w:lvlJc w:val="left"/>
      <w:pPr>
        <w:ind w:left="6912" w:hanging="360"/>
      </w:pPr>
      <w:rPr>
        <w:rFonts w:hint="default"/>
        <w:lang w:val="en-US" w:eastAsia="en-US" w:bidi="ar-SA"/>
      </w:rPr>
    </w:lvl>
    <w:lvl w:ilvl="8" w:tplc="405A35E6">
      <w:numFmt w:val="bullet"/>
      <w:lvlText w:val="•"/>
      <w:lvlJc w:val="left"/>
      <w:pPr>
        <w:ind w:left="7848" w:hanging="360"/>
      </w:pPr>
      <w:rPr>
        <w:rFonts w:hint="default"/>
        <w:lang w:val="en-US" w:eastAsia="en-US" w:bidi="ar-SA"/>
      </w:rPr>
    </w:lvl>
  </w:abstractNum>
  <w:abstractNum w:abstractNumId="1" w15:restartNumberingAfterBreak="0">
    <w:nsid w:val="7F0711EE"/>
    <w:multiLevelType w:val="hybridMultilevel"/>
    <w:tmpl w:val="10B412FC"/>
    <w:lvl w:ilvl="0" w:tplc="A12488A4">
      <w:start w:val="1"/>
      <w:numFmt w:val="lowerLetter"/>
      <w:lvlText w:val="%1)"/>
      <w:lvlJc w:val="left"/>
      <w:pPr>
        <w:ind w:left="3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0F682A0">
      <w:numFmt w:val="bullet"/>
      <w:lvlText w:val="•"/>
      <w:lvlJc w:val="left"/>
      <w:pPr>
        <w:ind w:left="1296" w:hanging="360"/>
      </w:pPr>
      <w:rPr>
        <w:rFonts w:hint="default"/>
        <w:lang w:val="en-US" w:eastAsia="en-US" w:bidi="ar-SA"/>
      </w:rPr>
    </w:lvl>
    <w:lvl w:ilvl="2" w:tplc="DDAA7418">
      <w:numFmt w:val="bullet"/>
      <w:lvlText w:val="•"/>
      <w:lvlJc w:val="left"/>
      <w:pPr>
        <w:ind w:left="2232" w:hanging="360"/>
      </w:pPr>
      <w:rPr>
        <w:rFonts w:hint="default"/>
        <w:lang w:val="en-US" w:eastAsia="en-US" w:bidi="ar-SA"/>
      </w:rPr>
    </w:lvl>
    <w:lvl w:ilvl="3" w:tplc="42205070">
      <w:numFmt w:val="bullet"/>
      <w:lvlText w:val="•"/>
      <w:lvlJc w:val="left"/>
      <w:pPr>
        <w:ind w:left="3168" w:hanging="360"/>
      </w:pPr>
      <w:rPr>
        <w:rFonts w:hint="default"/>
        <w:lang w:val="en-US" w:eastAsia="en-US" w:bidi="ar-SA"/>
      </w:rPr>
    </w:lvl>
    <w:lvl w:ilvl="4" w:tplc="6560AF74">
      <w:numFmt w:val="bullet"/>
      <w:lvlText w:val="•"/>
      <w:lvlJc w:val="left"/>
      <w:pPr>
        <w:ind w:left="4104" w:hanging="360"/>
      </w:pPr>
      <w:rPr>
        <w:rFonts w:hint="default"/>
        <w:lang w:val="en-US" w:eastAsia="en-US" w:bidi="ar-SA"/>
      </w:rPr>
    </w:lvl>
    <w:lvl w:ilvl="5" w:tplc="6E4A6B5E">
      <w:numFmt w:val="bullet"/>
      <w:lvlText w:val="•"/>
      <w:lvlJc w:val="left"/>
      <w:pPr>
        <w:ind w:left="5040" w:hanging="360"/>
      </w:pPr>
      <w:rPr>
        <w:rFonts w:hint="default"/>
        <w:lang w:val="en-US" w:eastAsia="en-US" w:bidi="ar-SA"/>
      </w:rPr>
    </w:lvl>
    <w:lvl w:ilvl="6" w:tplc="61EAC46A">
      <w:numFmt w:val="bullet"/>
      <w:lvlText w:val="•"/>
      <w:lvlJc w:val="left"/>
      <w:pPr>
        <w:ind w:left="5976" w:hanging="360"/>
      </w:pPr>
      <w:rPr>
        <w:rFonts w:hint="default"/>
        <w:lang w:val="en-US" w:eastAsia="en-US" w:bidi="ar-SA"/>
      </w:rPr>
    </w:lvl>
    <w:lvl w:ilvl="7" w:tplc="C96CB804">
      <w:numFmt w:val="bullet"/>
      <w:lvlText w:val="•"/>
      <w:lvlJc w:val="left"/>
      <w:pPr>
        <w:ind w:left="6912" w:hanging="360"/>
      </w:pPr>
      <w:rPr>
        <w:rFonts w:hint="default"/>
        <w:lang w:val="en-US" w:eastAsia="en-US" w:bidi="ar-SA"/>
      </w:rPr>
    </w:lvl>
    <w:lvl w:ilvl="8" w:tplc="103635AA">
      <w:numFmt w:val="bullet"/>
      <w:lvlText w:val="•"/>
      <w:lvlJc w:val="left"/>
      <w:pPr>
        <w:ind w:left="7848" w:hanging="360"/>
      </w:pPr>
      <w:rPr>
        <w:rFonts w:hint="default"/>
        <w:lang w:val="en-US" w:eastAsia="en-US" w:bidi="ar-SA"/>
      </w:rPr>
    </w:lvl>
  </w:abstractNum>
  <w:num w:numId="1" w16cid:durableId="380634227">
    <w:abstractNumId w:val="0"/>
  </w:num>
  <w:num w:numId="2" w16cid:durableId="900599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5045"/>
    <w:rsid w:val="001E3EA9"/>
    <w:rsid w:val="001F4F95"/>
    <w:rsid w:val="004949C0"/>
    <w:rsid w:val="004B28DD"/>
    <w:rsid w:val="00540977"/>
    <w:rsid w:val="007B41AC"/>
    <w:rsid w:val="009F5045"/>
    <w:rsid w:val="00B90DE0"/>
    <w:rsid w:val="00B955A4"/>
    <w:rsid w:val="00CA647B"/>
    <w:rsid w:val="00CF6F5E"/>
    <w:rsid w:val="00D011A6"/>
    <w:rsid w:val="00D401BD"/>
    <w:rsid w:val="00D46891"/>
    <w:rsid w:val="00E77B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372A1"/>
  <w15:docId w15:val="{D4BA6139-F8D5-457B-818E-19303360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right="35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rsid w:val="001F4F95"/>
    <w:pPr>
      <w:widowControl/>
      <w:tabs>
        <w:tab w:val="center" w:pos="4320"/>
        <w:tab w:val="right" w:pos="8640"/>
      </w:tabs>
      <w:autoSpaceDE/>
      <w:autoSpaceDN/>
    </w:pPr>
    <w:rPr>
      <w:sz w:val="20"/>
      <w:szCs w:val="20"/>
    </w:rPr>
  </w:style>
  <w:style w:type="character" w:customStyle="1" w:styleId="HeaderChar">
    <w:name w:val="Header Char"/>
    <w:basedOn w:val="DefaultParagraphFont"/>
    <w:link w:val="Header"/>
    <w:uiPriority w:val="99"/>
    <w:rsid w:val="001F4F9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77BBC"/>
    <w:pPr>
      <w:tabs>
        <w:tab w:val="center" w:pos="4513"/>
        <w:tab w:val="right" w:pos="9026"/>
      </w:tabs>
    </w:pPr>
  </w:style>
  <w:style w:type="character" w:customStyle="1" w:styleId="FooterChar">
    <w:name w:val="Footer Char"/>
    <w:basedOn w:val="DefaultParagraphFont"/>
    <w:link w:val="Footer"/>
    <w:uiPriority w:val="99"/>
    <w:rsid w:val="00E77B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Bansal</cp:lastModifiedBy>
  <cp:revision>10</cp:revision>
  <dcterms:created xsi:type="dcterms:W3CDTF">2026-06-08T11:54:00Z</dcterms:created>
  <dcterms:modified xsi:type="dcterms:W3CDTF">2026-06-29T15:31:00Z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2026-05-27T00:00:00Z</vt:filetime>
  </property>
  <property fmtid="{D5CDD505-2E9C-101B-9397-08002B2CF9AE}" pid="7" name="GrammarlyDocumentId">
    <vt:lpwstr>77c690ad-4123-4d0d-858b-a9b3451e24fb</vt:lpwstr>
  </property>
</Properties>
</file>