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MUTUAL NON-DISCLOSURE AGREEMENT</w:t>
      </w:r>
    </w:p>
    <w:p>
      <w:r>
        <w:t>MUTUAL NON-DISCLOSURE AGREEMENT</w:t>
      </w:r>
    </w:p>
    <w:p>
      <w:r>
        <w:t>1. CONFIDENTIAL INFORMATION</w:t>
        <w:br/>
        <w:t>Confidential Information includes all proprietary software code, financial projections, and customer lists disclosed by either party.</w:t>
      </w:r>
    </w:p>
    <w:p>
      <w:r>
        <w:t>2. OBLIGATIONS</w:t>
        <w:br/>
        <w:t>Receiving party agrees to hold Confidential Information in strict confidence for a period of 5 years.</w:t>
      </w:r>
    </w:p>
    <w:p>
      <w:r>
        <w:t>3. GOVERNING LAW AND VENUE</w:t>
        <w:br/>
        <w:t>This Agreement shall be governed by the laws of the Cayman Islands, and disputes shall be exclusively submitted to courts in George Town.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