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Smart Parking Camera Processing — Technical Runbook</w:t>
      </w:r>
    </w:p>
    <w:p>
      <w:r>
        <w:t>Document ID: PARK-CAM-RUNBOOK-001</w:t>
      </w:r>
    </w:p>
    <w:p>
      <w:pPr>
        <w:pStyle w:val="Heading1"/>
      </w:pPr>
      <w:r>
        <w:t>Architecture</w:t>
      </w:r>
    </w:p>
    <w:p>
      <w:r>
        <w:t>The parking-api receives parking events from the camera-processing service. The camera-processor runs vehicle/slot inference and publishes the result to slot-service. The camera processor normally maintains a worker pool of 8 inference workers.</w:t>
      </w:r>
    </w:p>
    <w:p>
      <w:pPr>
        <w:pStyle w:val="Heading1"/>
      </w:pPr>
      <w:r>
        <w:t>Normal Performance</w:t>
      </w:r>
    </w:p>
    <w:p>
      <w:r>
        <w:t>Normal inference latency is generally below 250 ms. Sustained inference latency above 400 ms is considered unhealthy. A worker timeout prevents the corresponding occupancy event from being published.</w:t>
      </w:r>
    </w:p>
    <w:p>
      <w:pPr>
        <w:pStyle w:val="Heading1"/>
      </w:pPr>
      <w:r>
        <w:t>Known Failure Mode: Model Inference Resource Exhaustion</w:t>
      </w:r>
    </w:p>
    <w:p>
      <w:r>
        <w:t>When inference latency increases continuously, the camera-processing queue grows. If the queue becomes saturated, inference workers can remain busy until timeout. The resulting worker exhaustion causes camera events to be dropped or delayed, while slot-service continues waiting for occupancy updates.</w:t>
      </w:r>
    </w:p>
    <w:p>
      <w:pPr>
        <w:pStyle w:val="Heading1"/>
      </w:pPr>
      <w:r>
        <w:t>Diagnostic Indicators</w:t>
      </w:r>
    </w:p>
    <w:p>
      <w:pPr>
        <w:pStyle w:val="ListBullet"/>
      </w:pPr>
      <w:r>
        <w:t>Repeated inference latency above 400 ms.</w:t>
      </w:r>
    </w:p>
    <w:p>
      <w:pPr>
        <w:pStyle w:val="ListBullet"/>
      </w:pPr>
      <w:r>
        <w:t>Inference worker timeout errors.</w:t>
      </w:r>
    </w:p>
    <w:p>
      <w:pPr>
        <w:pStyle w:val="ListBullet"/>
      </w:pPr>
      <w:r>
        <w:t>Increasing camera-processing queue depth.</w:t>
      </w:r>
    </w:p>
    <w:p>
      <w:pPr>
        <w:pStyle w:val="ListBullet"/>
      </w:pPr>
      <w:r>
        <w:t>Worker pool exhaustion.</w:t>
      </w:r>
    </w:p>
    <w:p>
      <w:pPr>
        <w:pStyle w:val="ListBullet"/>
      </w:pPr>
      <w:r>
        <w:t>Parking events delayed or missing occupancy updates.</w:t>
      </w:r>
    </w:p>
    <w:p>
      <w:pPr>
        <w:pStyle w:val="Heading1"/>
      </w:pPr>
      <w:r>
        <w:t>Recommended Verification</w:t>
      </w:r>
    </w:p>
    <w:p>
      <w:r>
        <w:t>Inspect camera-processor CPU/GPU utilization, inference queue depth, worker saturation, and model inference latency. Confirm whether a recent model/configuration change increased per-frame inference cost. Compare resource utilization before and during the incident.</w:t>
      </w:r>
    </w:p>
    <w:p>
      <w:pPr>
        <w:pStyle w:val="Heading1"/>
      </w:pPr>
      <w:r>
        <w:t>Recommended Remediation</w:t>
      </w:r>
    </w:p>
    <w:p>
      <w:r>
        <w:t>If resource exhaustion is confirmed, reduce inference cost or scale the camera-processing worker capacity. Validate the change under representative camera load before returning the service to normal production capacity.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