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4"/>
        </w:rPr>
        <w:t>pMIC Prediction Pipeline v3</w:t>
      </w:r>
    </w:p>
    <w:p>
      <w:pPr>
        <w:jc w:val="center"/>
      </w:pPr>
      <w:r>
        <w:rPr>
          <w:i/>
          <w:sz w:val="22"/>
        </w:rPr>
        <w:t>Complete Methods and Results Report</w:t>
        <w:br/>
        <w:t>Butina/Tanimoto Split · Classification (pMIC ≥ 6) · Regression ·</w:t>
        <w:br/>
        <w:t>Cascade Active-only Potency · Interpretability · External Validation · Library Screens</w:t>
      </w:r>
    </w:p>
    <w:p>
      <w:pPr>
        <w:jc w:val="center"/>
      </w:pPr>
      <w:r>
        <w:rPr>
          <w:sz w:val="20"/>
        </w:rPr>
        <w:t>Primary dataset: Smiles.xlsx (n = 35,948)  |  Selected activity cutoff: pMIC ≥ 6.0  |  Seed = 42</w:t>
      </w:r>
    </w:p>
    <w:p>
      <w:pPr>
        <w:pStyle w:val="Heading1"/>
      </w:pPr>
      <w:r>
        <w:t>1. Overview</w:t>
      </w:r>
    </w:p>
    <w:p>
      <w:pPr>
        <w:spacing w:after="160"/>
      </w:pPr>
      <w:r>
        <w:rPr>
          <w:rFonts w:ascii="Calibri" w:hAnsi="Calibri"/>
          <w:b w:val="0"/>
          <w:i w:val="0"/>
          <w:sz w:val="22"/>
        </w:rPr>
        <w:t>This report documents a scaffold-aware quantitative structure–activity relationship (QSAR) pipeline for antimycobacterial potency (pMIC). The workflow combines multi-fingerprint molecular representation, Butina clustering with Tanimoto similarity for train/test partitioning and GroupKFold cross-validation, multi-model ensembles, SHAP-based fingerprint highlighting, classification cutoff selection between pMIC 5.5 and 6.0, a cascade (classify → active-only regress) potency stage, external validation, and virtual screening of drug and natural-product libraries including COCONUT.</w:t>
      </w:r>
    </w:p>
    <w:p>
      <w:pPr>
        <w:pStyle w:val="Heading2"/>
      </w:pPr>
      <w:r>
        <w:t>1.1 Objectives</w:t>
      </w:r>
    </w:p>
    <w:p>
      <w:pPr>
        <w:pStyle w:val="ListBullet"/>
      </w:pPr>
      <w:r>
        <w:rPr>
          <w:rFonts w:ascii="Calibri" w:hAnsi="Calibri"/>
          <w:sz w:val="22"/>
        </w:rPr>
        <w:t>Predict continuous pMIC (regression) under chemically rigorous splits.</w:t>
      </w:r>
    </w:p>
    <w:p>
      <w:pPr>
        <w:pStyle w:val="ListBullet"/>
      </w:pPr>
      <w:r>
        <w:rPr>
          <w:rFonts w:ascii="Calibri" w:hAnsi="Calibri"/>
          <w:sz w:val="22"/>
        </w:rPr>
        <w:t>Classify Active vs Inactive at an evidence-based cutoff (prefer 6.0 over 7.0).</w:t>
      </w:r>
    </w:p>
    <w:p>
      <w:pPr>
        <w:pStyle w:val="ListBullet"/>
      </w:pPr>
      <w:r>
        <w:rPr>
          <w:rFonts w:ascii="Calibri" w:hAnsi="Calibri"/>
          <w:sz w:val="22"/>
        </w:rPr>
        <w:t>Avoid chemical leakage via Butina/Tanimoto cluster assignment.</w:t>
      </w:r>
    </w:p>
    <w:p>
      <w:pPr>
        <w:pStyle w:val="ListBullet"/>
      </w:pPr>
      <w:r>
        <w:rPr>
          <w:rFonts w:ascii="Calibri" w:hAnsi="Calibri"/>
          <w:sz w:val="22"/>
        </w:rPr>
        <w:t>Improve potency estimation among actives via cascade modeling without test leakage.</w:t>
      </w:r>
    </w:p>
    <w:p>
      <w:pPr>
        <w:pStyle w:val="ListBullet"/>
      </w:pPr>
      <w:r>
        <w:rPr>
          <w:rFonts w:ascii="Calibri" w:hAnsi="Calibri"/>
          <w:sz w:val="22"/>
        </w:rPr>
        <w:t>Interpret influential Morgan/MACCS bits and map them onto molecules.</w:t>
      </w:r>
    </w:p>
    <w:p>
      <w:pPr>
        <w:pStyle w:val="ListBullet"/>
      </w:pPr>
      <w:r>
        <w:rPr>
          <w:rFonts w:ascii="Calibri" w:hAnsi="Calibri"/>
          <w:sz w:val="22"/>
        </w:rPr>
        <w:t>Validate externally and screen approved drugs, 4FDN NPs, CyanoMetDB, and COCONUT.</w:t>
      </w:r>
    </w:p>
    <w:p>
      <w:pPr>
        <w:pStyle w:val="Heading1"/>
      </w:pPr>
      <w:r>
        <w:t>2. Methods</w:t>
      </w:r>
    </w:p>
    <w:p>
      <w:pPr>
        <w:pStyle w:val="Heading2"/>
      </w:pPr>
      <w:r>
        <w:t>2.1 Datasets and endpoint</w:t>
      </w:r>
    </w:p>
    <w:p>
      <w:pPr>
        <w:spacing w:after="160"/>
      </w:pPr>
      <w:r>
        <w:rPr>
          <w:rFonts w:ascii="Calibri" w:hAnsi="Calibri"/>
          <w:b w:val="0"/>
          <w:i w:val="0"/>
          <w:sz w:val="22"/>
        </w:rPr>
        <w:t>Modeling data (Smiles.xlsx) comprised 35,948 compounds with experimental pMIC from 1.78 to 9.03. pMIC is −log₁₀(MIC [M]). An independent labeled set (Cleaned_External_Validation.xlsx, n = 122) was used only for final evaluation. Unlabeled libraries screened for candidates: approved DrugBank compounds, 4FDN natural-product docking set, CyanoMetDB V03 2024, and COCONUT (July 2026 dump).</w:t>
      </w:r>
    </w:p>
    <w:p>
      <w:pPr>
        <w:pStyle w:val="Heading2"/>
      </w:pPr>
      <w:r>
        <w:t>2.2 Molecular representation</w:t>
      </w:r>
    </w:p>
    <w:p>
      <w:pPr>
        <w:pStyle w:val="ListBullet"/>
      </w:pPr>
      <w:r>
        <w:rPr>
          <w:rFonts w:ascii="Calibri" w:hAnsi="Calibri"/>
          <w:sz w:val="22"/>
        </w:rPr>
        <w:t>Morgan fingerprints (radius 2, 2048 bits)</w:t>
      </w:r>
    </w:p>
    <w:p>
      <w:pPr>
        <w:pStyle w:val="ListBullet"/>
      </w:pPr>
      <w:r>
        <w:rPr>
          <w:rFonts w:ascii="Calibri" w:hAnsi="Calibri"/>
          <w:sz w:val="22"/>
        </w:rPr>
        <w:t>MACCS keys (167 bits)</w:t>
      </w:r>
    </w:p>
    <w:p>
      <w:pPr>
        <w:pStyle w:val="ListBullet"/>
      </w:pPr>
      <w:r>
        <w:rPr>
          <w:rFonts w:ascii="Calibri" w:hAnsi="Calibri"/>
          <w:sz w:val="22"/>
        </w:rPr>
        <w:t>Atom-pair fingerprints (2048 bits)</w:t>
      </w:r>
    </w:p>
    <w:p>
      <w:pPr>
        <w:pStyle w:val="ListBullet"/>
      </w:pPr>
      <w:r>
        <w:rPr>
          <w:rFonts w:ascii="Calibri" w:hAnsi="Calibri"/>
          <w:sz w:val="22"/>
        </w:rPr>
        <w:t>RDKit path fingerprints (2048 bits)</w:t>
      </w:r>
    </w:p>
    <w:p>
      <w:pPr>
        <w:pStyle w:val="ListBullet"/>
      </w:pPr>
      <w:r>
        <w:rPr>
          <w:rFonts w:ascii="Calibri" w:hAnsi="Calibri"/>
          <w:sz w:val="22"/>
        </w:rPr>
        <w:t>216 RDKit descriptors (Ipc excluded) → total 6,527 features</w:t>
      </w:r>
    </w:p>
    <w:p>
      <w:pPr>
        <w:spacing w:after="160"/>
      </w:pPr>
      <w:r>
        <w:rPr>
          <w:rFonts w:ascii="Calibri" w:hAnsi="Calibri"/>
          <w:b w:val="0"/>
          <w:i w:val="0"/>
          <w:sz w:val="22"/>
        </w:rPr>
        <w:t>Invalid SMILES and zero-heavy-atom structures were dropped during featurization. Descriptors were sanitized (NaN/Inf → 0; clipped).</w:t>
      </w:r>
    </w:p>
    <w:p>
      <w:pPr>
        <w:pStyle w:val="Heading2"/>
      </w:pPr>
      <w:r>
        <w:t>2.3 Feature selection</w:t>
      </w:r>
    </w:p>
    <w:p>
      <w:pPr>
        <w:pStyle w:val="ListBullet"/>
      </w:pPr>
      <w:r>
        <w:rPr>
          <w:rFonts w:ascii="Calibri" w:hAnsi="Calibri"/>
          <w:sz w:val="22"/>
        </w:rPr>
        <w:t>VarianceThreshold (0.01)</w:t>
      </w:r>
    </w:p>
    <w:p>
      <w:pPr>
        <w:pStyle w:val="ListBullet"/>
      </w:pPr>
      <w:r>
        <w:rPr>
          <w:rFonts w:ascii="Calibri" w:hAnsi="Calibri"/>
          <w:sz w:val="22"/>
        </w:rPr>
        <w:t>Pearson correlation filter (|r| &gt; 0.95)</w:t>
      </w:r>
    </w:p>
    <w:p>
      <w:pPr>
        <w:pStyle w:val="ListBullet"/>
      </w:pPr>
      <w:r>
        <w:rPr>
          <w:rFonts w:ascii="Calibri" w:hAnsi="Calibri"/>
          <w:sz w:val="22"/>
        </w:rPr>
        <w:t>Mutual-information SelectKBest: top 1000 (regression) / top 300 (classification)</w:t>
      </w:r>
    </w:p>
    <w:p>
      <w:pPr>
        <w:pStyle w:val="ListBullet"/>
      </w:pPr>
      <w:r>
        <w:rPr>
          <w:rFonts w:ascii="Calibri" w:hAnsi="Calibri"/>
          <w:sz w:val="22"/>
        </w:rPr>
        <w:t>Selectors fit on training data only and stored in a picklable FeatureTransformer</w:t>
      </w:r>
    </w:p>
    <w:p>
      <w:pPr>
        <w:pStyle w:val="Heading2"/>
      </w:pPr>
      <w:r>
        <w:t>2.4 Butina cluster split (scaffold-aware)</w:t>
      </w:r>
    </w:p>
    <w:p>
      <w:pPr>
        <w:spacing w:after="160"/>
      </w:pPr>
      <w:r>
        <w:rPr>
          <w:rFonts w:ascii="Calibri" w:hAnsi="Calibri"/>
          <w:b w:val="0"/>
          <w:i w:val="0"/>
          <w:sz w:val="22"/>
        </w:rPr>
        <w:t>Molecules were clustered with the Butina algorithm on Morgan fingerprints (radius 2, 1024 bits) using Tanimoto distance cutoff 0.4 (similarity ≥ 0.6). Entire clusters were assigned to train or test (~80/20) with size-balanced allocation. Within-train CV used GroupKFold by cluster ID (5 folds), preventing cluster leakage.</w:t>
      </w:r>
    </w:p>
    <w:p>
      <w:pPr>
        <w:spacing w:after="160"/>
      </w:pPr>
      <w:r>
        <w:rPr>
          <w:rFonts w:ascii="Calibri" w:hAnsi="Calibri"/>
          <w:b w:val="0"/>
          <w:i w:val="0"/>
          <w:sz w:val="22"/>
        </w:rPr>
        <w:t>Partition: 4,505 clusters (1,606 singletons); Train n = 28,758 (2,486 clusters); Test n = 7,190 (2,019 clusters). Each molecule was labeled in preprocessed_data.xlsx with Split, CV_fold / Dataset_role, Butina_cluster, and (after classification) actual vs predicted activity labels.</w:t>
      </w:r>
    </w:p>
    <w:p>
      <w:pPr>
        <w:pStyle w:val="Heading2"/>
      </w:pPr>
      <w:r>
        <w:t>2.5 Models</w:t>
      </w:r>
    </w:p>
    <w:p>
      <w:pPr>
        <w:spacing w:after="160"/>
      </w:pPr>
      <w:r>
        <w:rPr>
          <w:rFonts w:ascii="Calibri" w:hAnsi="Calibri"/>
          <w:b/>
          <w:i w:val="0"/>
          <w:sz w:val="22"/>
        </w:rPr>
        <w:t>Regression candidates:</w:t>
      </w:r>
    </w:p>
    <w:p>
      <w:pPr>
        <w:pStyle w:val="ListBullet"/>
      </w:pPr>
      <w:r>
        <w:rPr>
          <w:rFonts w:ascii="Calibri" w:hAnsi="Calibri"/>
          <w:sz w:val="22"/>
        </w:rPr>
        <w:t>RandomForest, ExtraTrees, HistGradientBoosting, Ridge, LinearSVR</w:t>
      </w:r>
    </w:p>
    <w:p>
      <w:pPr>
        <w:pStyle w:val="ListBullet"/>
      </w:pPr>
      <w:r>
        <w:rPr>
          <w:rFonts w:ascii="Calibri" w:hAnsi="Calibri"/>
          <w:sz w:val="22"/>
        </w:rPr>
        <w:t>XGBoost, LightGBM</w:t>
      </w:r>
    </w:p>
    <w:p>
      <w:pPr>
        <w:pStyle w:val="ListBullet"/>
      </w:pPr>
      <w:r>
        <w:rPr>
          <w:rFonts w:ascii="Calibri" w:hAnsi="Calibri"/>
          <w:sz w:val="22"/>
        </w:rPr>
        <w:t>StackingRegressor of top-3 trees → Ridge</w:t>
      </w:r>
    </w:p>
    <w:p>
      <w:pPr>
        <w:spacing w:after="160"/>
      </w:pPr>
      <w:r>
        <w:rPr>
          <w:rFonts w:ascii="Calibri" w:hAnsi="Calibri"/>
          <w:b/>
          <w:i w:val="0"/>
          <w:sz w:val="22"/>
        </w:rPr>
        <w:t>Classification candidates:</w:t>
      </w:r>
    </w:p>
    <w:p>
      <w:pPr>
        <w:pStyle w:val="ListBullet"/>
      </w:pPr>
      <w:r>
        <w:rPr>
          <w:rFonts w:ascii="Calibri" w:hAnsi="Calibri"/>
          <w:sz w:val="22"/>
        </w:rPr>
        <w:t>Calibrated LinearSVC, LogisticRegression (balanced)</w:t>
      </w:r>
    </w:p>
    <w:p>
      <w:pPr>
        <w:pStyle w:val="ListBullet"/>
      </w:pPr>
      <w:r>
        <w:rPr>
          <w:rFonts w:ascii="Calibri" w:hAnsi="Calibri"/>
          <w:sz w:val="22"/>
        </w:rPr>
        <w:t>RandomForest, ExtraTrees, HistGradientBoosting (balanced)</w:t>
      </w:r>
    </w:p>
    <w:p>
      <w:pPr>
        <w:pStyle w:val="ListBullet"/>
      </w:pPr>
      <w:r>
        <w:rPr>
          <w:rFonts w:ascii="Calibri" w:hAnsi="Calibri"/>
          <w:sz w:val="22"/>
        </w:rPr>
        <w:t>XGBoost, LightGBM; StackingClassifier → LogisticRegression</w:t>
      </w:r>
    </w:p>
    <w:p>
      <w:pPr>
        <w:pStyle w:val="ListBullet"/>
      </w:pPr>
      <w:r>
        <w:rPr>
          <w:rFonts w:ascii="Calibri" w:hAnsi="Calibri"/>
          <w:sz w:val="22"/>
        </w:rPr>
        <w:t>Decision threshold optimized on train probabilities (balanced accuracy)</w:t>
      </w:r>
    </w:p>
    <w:p>
      <w:pPr>
        <w:pStyle w:val="ListBullet"/>
      </w:pPr>
      <w:r>
        <w:rPr>
          <w:rFonts w:ascii="Calibri" w:hAnsi="Calibri"/>
          <w:sz w:val="22"/>
        </w:rPr>
        <w:t>Gray-zone exclusion: |pMIC − cutoff| &lt; 0.5 removed from classification training</w:t>
      </w:r>
    </w:p>
    <w:p>
      <w:pPr>
        <w:pStyle w:val="Heading2"/>
      </w:pPr>
      <w:r>
        <w:t>2.6 Classification cutoff selection</w:t>
      </w:r>
    </w:p>
    <w:p>
      <w:pPr>
        <w:spacing w:after="160"/>
      </w:pPr>
      <w:r>
        <w:rPr>
          <w:rFonts w:ascii="Calibri" w:hAnsi="Calibri"/>
          <w:b w:val="0"/>
          <w:i w:val="0"/>
          <w:sz w:val="22"/>
        </w:rPr>
        <w:t>Binary Active labels were compared at pMIC ≥ 5.5 and ≥ 6.0 (cutoff 7 was discarded a priori because of extreme imbalance and absence of actives in the external set). Selection used GroupKFold RF probes and preferred 6.0 when near-best in ROC-AUC.</w:t>
      </w:r>
    </w:p>
    <w:p>
      <w:pPr>
        <w:pStyle w:val="Heading2"/>
      </w:pPr>
      <w:r>
        <w:t>2.7 Cascade: classify then active-only regress</w:t>
      </w:r>
    </w:p>
    <w:p>
      <w:pPr>
        <w:spacing w:after="160"/>
      </w:pPr>
      <w:r>
        <w:rPr>
          <w:rFonts w:ascii="Calibri" w:hAnsi="Calibri"/>
          <w:b w:val="0"/>
          <w:i w:val="0"/>
          <w:sz w:val="22"/>
        </w:rPr>
        <w:t>To address poor potency calibration among high-pMIC compounds under a global regressor, a cascade was implemented without test leakage:</w:t>
      </w:r>
    </w:p>
    <w:p>
      <w:pPr>
        <w:pStyle w:val="ListBullet"/>
      </w:pPr>
      <w:r>
        <w:rPr>
          <w:rFonts w:ascii="Calibri" w:hAnsi="Calibri"/>
          <w:sz w:val="22"/>
        </w:rPr>
        <w:t>Stage A: reuse the train-only classifier (pMIC ≥ 6).</w:t>
      </w:r>
    </w:p>
    <w:p>
      <w:pPr>
        <w:pStyle w:val="ListBullet"/>
      </w:pPr>
      <w:r>
        <w:rPr>
          <w:rFonts w:ascii="Calibri" w:hAnsi="Calibri"/>
          <w:sz w:val="22"/>
        </w:rPr>
        <w:t>Stage B: fit a new regressor only on train ∩ true actives; feature selection refit on that subset; GroupKFold by Butina cluster among actives.</w:t>
      </w:r>
    </w:p>
    <w:p>
      <w:pPr>
        <w:pStyle w:val="ListBullet"/>
      </w:pPr>
      <w:r>
        <w:rPr>
          <w:rFonts w:ascii="Calibri" w:hAnsi="Calibri"/>
          <w:sz w:val="22"/>
        </w:rPr>
        <w:t>Test metrics reported separately as: (i) Oracle — active-regressor on true test actives; (ii) Pipeline — active-regressor on classifier-predicted actives; (iii) Baseline — global regressor for reference.</w:t>
      </w:r>
    </w:p>
    <w:p>
      <w:pPr>
        <w:pStyle w:val="Heading2"/>
      </w:pPr>
      <w:r>
        <w:t>2.8 Interpretability</w:t>
      </w:r>
    </w:p>
    <w:p>
      <w:pPr>
        <w:spacing w:after="160"/>
      </w:pPr>
      <w:r>
        <w:rPr>
          <w:rFonts w:ascii="Calibri" w:hAnsi="Calibri"/>
          <w:b w:val="0"/>
          <w:i w:val="0"/>
          <w:sz w:val="22"/>
        </w:rPr>
        <w:t>TreeSHAP attributions (ExtraTrees surrogate on classification features) ranked Morgan/MACCS bits. Top bits were mapped to atoms and highlighted on the five test compounds with highest Active_probability and on reference TB drugs (SMILES for mapping.xlsx).</w:t>
      </w:r>
    </w:p>
    <w:p>
      <w:pPr>
        <w:pStyle w:val="Heading2"/>
      </w:pPr>
      <w:r>
        <w:t>2.9 External validation and screening</w:t>
      </w:r>
    </w:p>
    <w:p>
      <w:pPr>
        <w:spacing w:after="160"/>
      </w:pPr>
      <w:r>
        <w:rPr>
          <w:rFonts w:ascii="Calibri" w:hAnsi="Calibri"/>
          <w:b w:val="0"/>
          <w:i w:val="0"/>
          <w:sz w:val="22"/>
        </w:rPr>
        <w:t>Saved models were applied to Cleaned_External_Validation.xlsx and to four libraries. Original columns were retained; predictions written to new *_pmic files (COCONUT as CSV due to scale).</w:t>
      </w:r>
    </w:p>
    <w:p>
      <w:pPr>
        <w:pStyle w:val="Heading2"/>
      </w:pPr>
      <w:r>
        <w:t>2.10 Software</w:t>
      </w:r>
    </w:p>
    <w:p>
      <w:pPr>
        <w:pStyle w:val="ListBullet"/>
      </w:pPr>
      <w:r>
        <w:rPr>
          <w:rFonts w:ascii="Calibri" w:hAnsi="Calibri"/>
          <w:sz w:val="22"/>
        </w:rPr>
        <w:t>Python 3.13; RDKit; scikit-learn; XGBoost; LightGBM; SHAP; NumPy; Pandas; Matplotlib</w:t>
      </w:r>
    </w:p>
    <w:p>
      <w:pPr>
        <w:pStyle w:val="ListBullet"/>
      </w:pPr>
      <w:r>
        <w:rPr>
          <w:rFonts w:ascii="Calibri" w:hAnsi="Calibri"/>
          <w:sz w:val="22"/>
        </w:rPr>
        <w:t>Key scripts: pmic_prediction.py, pmic_extras.py, retrain_cls_cutoff.py, cascade_cls_then_reg.py, postprocess_cls6.py, predict_forxlsx.py</w:t>
      </w:r>
    </w:p>
    <w:p>
      <w:pPr>
        <w:pStyle w:val="Heading1"/>
      </w:pPr>
      <w:r>
        <w:t>3. Results</w:t>
      </w:r>
    </w:p>
    <w:p>
      <w:pPr>
        <w:pStyle w:val="Heading2"/>
      </w:pPr>
      <w:r>
        <w:t>3.1 Cutoff comparison (5.5 vs 6.0)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fill="1F4E79" w:val="clear"/>
          </w:tcPr>
          <w:p>
            <w:r>
              <w:rPr>
                <w:b/>
                <w:color w:val="FFFFFF"/>
                <w:sz w:val="18"/>
              </w:rPr>
              <w:t>Cutoff</w:t>
            </w:r>
          </w:p>
        </w:tc>
        <w:tc>
          <w:tcPr>
            <w:tcW w:type="dxa" w:w="1392"/>
            <w:shd w:fill="1F4E79" w:val="clear"/>
          </w:tcPr>
          <w:p>
            <w:r>
              <w:rPr>
                <w:b/>
                <w:color w:val="FFFFFF"/>
                <w:sz w:val="18"/>
              </w:rPr>
              <w:t>Train active %</w:t>
            </w:r>
          </w:p>
        </w:tc>
        <w:tc>
          <w:tcPr>
            <w:tcW w:type="dxa" w:w="1392"/>
            <w:shd w:fill="1F4E79" w:val="clear"/>
          </w:tcPr>
          <w:p>
            <w:r>
              <w:rPr>
                <w:b/>
                <w:color w:val="FFFFFF"/>
                <w:sz w:val="18"/>
              </w:rPr>
              <w:t>CV ROC-AUC</w:t>
            </w:r>
          </w:p>
        </w:tc>
        <w:tc>
          <w:tcPr>
            <w:tcW w:type="dxa" w:w="1392"/>
            <w:shd w:fill="1F4E79" w:val="clear"/>
          </w:tcPr>
          <w:p>
            <w:r>
              <w:rPr>
                <w:b/>
                <w:color w:val="FFFFFF"/>
                <w:sz w:val="18"/>
              </w:rPr>
              <w:t>CV BalAcc</w:t>
            </w:r>
          </w:p>
        </w:tc>
        <w:tc>
          <w:tcPr>
            <w:tcW w:type="dxa" w:w="1392"/>
            <w:shd w:fill="1F4E79" w:val="clear"/>
          </w:tcPr>
          <w:p>
            <w:r>
              <w:rPr>
                <w:b/>
                <w:color w:val="FFFFFF"/>
                <w:sz w:val="18"/>
              </w:rPr>
              <w:t>CV F1</w:t>
            </w:r>
          </w:p>
        </w:tc>
        <w:tc>
          <w:tcPr>
            <w:tcW w:type="dxa" w:w="1392"/>
            <w:shd w:fill="1F4E79" w:val="clear"/>
          </w:tcPr>
          <w:p>
            <w:r>
              <w:rPr>
                <w:b/>
                <w:color w:val="FFFFFF"/>
                <w:sz w:val="18"/>
              </w:rPr>
              <w:t>CV MCC</w:t>
            </w:r>
          </w:p>
        </w:tc>
        <w:tc>
          <w:tcPr>
            <w:tcW w:type="dxa" w:w="1392"/>
            <w:shd w:fill="1F4E79" w:val="clear"/>
          </w:tcPr>
          <w:p>
            <w:r>
              <w:rPr>
                <w:b/>
                <w:color w:val="FFFFFF"/>
                <w:sz w:val="18"/>
              </w:rPr>
              <w:t>Ext. actives</w:t>
            </w:r>
          </w:p>
        </w:tc>
      </w:tr>
      <w:tr>
        <w:tc>
          <w:tcPr>
            <w:tcW w:type="dxa" w:w="1392"/>
          </w:tcPr>
          <w:p>
            <w:r>
              <w:rPr>
                <w:sz w:val="18"/>
              </w:rPr>
              <w:t>5.5</w:t>
            </w:r>
          </w:p>
        </w:tc>
        <w:tc>
          <w:tcPr>
            <w:tcW w:type="dxa" w:w="1392"/>
          </w:tcPr>
          <w:p>
            <w:r>
              <w:rPr>
                <w:sz w:val="18"/>
              </w:rPr>
              <w:t>40.1%</w:t>
            </w:r>
          </w:p>
        </w:tc>
        <w:tc>
          <w:tcPr>
            <w:tcW w:type="dxa" w:w="1392"/>
          </w:tcPr>
          <w:p>
            <w:r>
              <w:rPr>
                <w:sz w:val="18"/>
              </w:rPr>
              <w:t>0.761</w:t>
            </w:r>
          </w:p>
        </w:tc>
        <w:tc>
          <w:tcPr>
            <w:tcW w:type="dxa" w:w="1392"/>
          </w:tcPr>
          <w:p>
            <w:r>
              <w:rPr>
                <w:sz w:val="18"/>
              </w:rPr>
              <w:t>0.660</w:t>
            </w:r>
          </w:p>
        </w:tc>
        <w:tc>
          <w:tcPr>
            <w:tcW w:type="dxa" w:w="1392"/>
          </w:tcPr>
          <w:p>
            <w:r>
              <w:rPr>
                <w:sz w:val="18"/>
              </w:rPr>
              <w:t>0.524</w:t>
            </w:r>
          </w:p>
        </w:tc>
        <w:tc>
          <w:tcPr>
            <w:tcW w:type="dxa" w:w="1392"/>
          </w:tcPr>
          <w:p>
            <w:r>
              <w:rPr>
                <w:sz w:val="18"/>
              </w:rPr>
              <w:t>0.392</w:t>
            </w:r>
          </w:p>
        </w:tc>
        <w:tc>
          <w:tcPr>
            <w:tcW w:type="dxa" w:w="1392"/>
          </w:tcPr>
          <w:p>
            <w:r>
              <w:rPr>
                <w:sz w:val="18"/>
              </w:rPr>
              <w:t>34/122 (27.9%)</w:t>
            </w:r>
          </w:p>
        </w:tc>
      </w:tr>
      <w:tr>
        <w:tc>
          <w:tcPr>
            <w:tcW w:type="dxa" w:w="1392"/>
            <w:shd w:fill="F2F2F2" w:val="clear"/>
          </w:tcPr>
          <w:p>
            <w:r>
              <w:rPr>
                <w:sz w:val="18"/>
              </w:rPr>
              <w:t>6.0 (selected)</w:t>
            </w:r>
          </w:p>
        </w:tc>
        <w:tc>
          <w:tcPr>
            <w:tcW w:type="dxa" w:w="1392"/>
            <w:shd w:fill="F2F2F2" w:val="clear"/>
          </w:tcPr>
          <w:p>
            <w:r>
              <w:rPr>
                <w:sz w:val="18"/>
              </w:rPr>
              <w:t>25.7%</w:t>
            </w:r>
          </w:p>
        </w:tc>
        <w:tc>
          <w:tcPr>
            <w:tcW w:type="dxa" w:w="1392"/>
            <w:shd w:fill="F2F2F2" w:val="clear"/>
          </w:tcPr>
          <w:p>
            <w:r>
              <w:rPr>
                <w:sz w:val="18"/>
              </w:rPr>
              <w:t>0.797</w:t>
            </w:r>
          </w:p>
        </w:tc>
        <w:tc>
          <w:tcPr>
            <w:tcW w:type="dxa" w:w="1392"/>
            <w:shd w:fill="F2F2F2" w:val="clear"/>
          </w:tcPr>
          <w:p>
            <w:r>
              <w:rPr>
                <w:sz w:val="18"/>
              </w:rPr>
              <w:t>0.602</w:t>
            </w:r>
          </w:p>
        </w:tc>
        <w:tc>
          <w:tcPr>
            <w:tcW w:type="dxa" w:w="1392"/>
            <w:shd w:fill="F2F2F2" w:val="clear"/>
          </w:tcPr>
          <w:p>
            <w:r>
              <w:rPr>
                <w:sz w:val="18"/>
              </w:rPr>
              <w:t>0.361</w:t>
            </w:r>
          </w:p>
        </w:tc>
        <w:tc>
          <w:tcPr>
            <w:tcW w:type="dxa" w:w="1392"/>
            <w:shd w:fill="F2F2F2" w:val="clear"/>
          </w:tcPr>
          <w:p>
            <w:r>
              <w:rPr>
                <w:sz w:val="18"/>
              </w:rPr>
              <w:t>0.298</w:t>
            </w:r>
          </w:p>
        </w:tc>
        <w:tc>
          <w:tcPr>
            <w:tcW w:type="dxa" w:w="1392"/>
            <w:shd w:fill="F2F2F2" w:val="clear"/>
          </w:tcPr>
          <w:p>
            <w:r>
              <w:rPr>
                <w:sz w:val="18"/>
              </w:rPr>
              <w:t>14/122 (11.5%)</w:t>
            </w:r>
          </w:p>
        </w:tc>
      </w:tr>
    </w:tbl>
    <w:p/>
    <w:p>
      <w:pPr>
        <w:spacing w:after="160"/>
      </w:pPr>
      <w:r>
        <w:rPr>
          <w:rFonts w:ascii="Calibri" w:hAnsi="Calibri"/>
          <w:b w:val="0"/>
          <w:i/>
          <w:sz w:val="20"/>
        </w:rPr>
        <w:t>Table 1. Classification cutoff comparison. Cutoff 6.0 selected for higher CV AUC and usable external actives (unlike cutoff 7).</w:t>
      </w:r>
    </w:p>
    <w:p>
      <w:pPr>
        <w:pStyle w:val="Heading2"/>
      </w:pPr>
      <w:r>
        <w:t>3.2 Regression (global model, Butina split)</w:t>
      </w:r>
    </w:p>
    <w:p>
      <w:pPr>
        <w:spacing w:after="160"/>
      </w:pPr>
      <w:r>
        <w:rPr>
          <w:rFonts w:ascii="Calibri" w:hAnsi="Calibri"/>
          <w:b w:val="0"/>
          <w:i w:val="0"/>
          <w:sz w:val="22"/>
        </w:rPr>
        <w:t>Stacking (ExtraTrees + XGBoost + RandomForest → Ridge) was best by CV R². LightGBM had the strongest raw Test R² among base learners.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r>
              <w:rPr>
                <w:b/>
                <w:color w:val="FFFFFF"/>
                <w:sz w:val="18"/>
              </w:rPr>
              <w:t>Set</w:t>
            </w:r>
          </w:p>
        </w:tc>
        <w:tc>
          <w:tcPr>
            <w:tcW w:type="dxa" w:w="2436"/>
            <w:shd w:fill="1F4E79" w:val="clear"/>
          </w:tcPr>
          <w:p>
            <w:r>
              <w:rPr>
                <w:b/>
                <w:color w:val="FFFFFF"/>
                <w:sz w:val="18"/>
              </w:rPr>
              <w:t>R²</w:t>
            </w:r>
          </w:p>
        </w:tc>
        <w:tc>
          <w:tcPr>
            <w:tcW w:type="dxa" w:w="2436"/>
            <w:shd w:fill="1F4E79" w:val="clear"/>
          </w:tcPr>
          <w:p>
            <w:r>
              <w:rPr>
                <w:b/>
                <w:color w:val="FFFFFF"/>
                <w:sz w:val="18"/>
              </w:rPr>
              <w:t>RMSE</w:t>
            </w:r>
          </w:p>
        </w:tc>
        <w:tc>
          <w:tcPr>
            <w:tcW w:type="dxa" w:w="2436"/>
            <w:shd w:fill="1F4E79" w:val="clear"/>
          </w:tcPr>
          <w:p>
            <w:r>
              <w:rPr>
                <w:b/>
                <w:color w:val="FFFFFF"/>
                <w:sz w:val="18"/>
              </w:rPr>
              <w:t>MAE</w:t>
            </w:r>
          </w:p>
        </w:tc>
      </w:tr>
      <w:tr>
        <w:tc>
          <w:tcPr>
            <w:tcW w:type="dxa" w:w="2436"/>
          </w:tcPr>
          <w:p>
            <w:r>
              <w:rPr>
                <w:sz w:val="18"/>
              </w:rPr>
              <w:t>Train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0.722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0.546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0.390</w:t>
            </w:r>
          </w:p>
        </w:tc>
      </w:tr>
      <w:tr>
        <w:tc>
          <w:tcPr>
            <w:tcW w:type="dxa" w:w="2436"/>
            <w:shd w:fill="F2F2F2" w:val="clear"/>
          </w:tcPr>
          <w:p>
            <w:r>
              <w:rPr>
                <w:sz w:val="18"/>
              </w:rPr>
              <w:t>CV (OOF)</w:t>
            </w:r>
          </w:p>
        </w:tc>
        <w:tc>
          <w:tcPr>
            <w:tcW w:type="dxa" w:w="2436"/>
            <w:shd w:fill="F2F2F2" w:val="clear"/>
          </w:tcPr>
          <w:p>
            <w:r>
              <w:rPr>
                <w:sz w:val="18"/>
              </w:rPr>
              <w:t>0.284</w:t>
            </w:r>
          </w:p>
        </w:tc>
        <w:tc>
          <w:tcPr>
            <w:tcW w:type="dxa" w:w="2436"/>
            <w:shd w:fill="F2F2F2" w:val="clear"/>
          </w:tcPr>
          <w:p>
            <w:r>
              <w:rPr>
                <w:sz w:val="18"/>
              </w:rPr>
              <w:t>0.877</w:t>
            </w:r>
          </w:p>
        </w:tc>
        <w:tc>
          <w:tcPr>
            <w:tcW w:type="dxa" w:w="2436"/>
            <w:shd w:fill="F2F2F2" w:val="clear"/>
          </w:tcPr>
          <w:p>
            <w:r>
              <w:rPr>
                <w:sz w:val="18"/>
              </w:rPr>
              <w:t>0.684</w:t>
            </w:r>
          </w:p>
        </w:tc>
      </w:tr>
      <w:tr>
        <w:tc>
          <w:tcPr>
            <w:tcW w:type="dxa" w:w="2436"/>
          </w:tcPr>
          <w:p>
            <w:r>
              <w:rPr>
                <w:sz w:val="18"/>
              </w:rPr>
              <w:t>Test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0.319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0.784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0.615</w:t>
            </w:r>
          </w:p>
        </w:tc>
      </w:tr>
    </w:tbl>
    <w:p/>
    <w:p>
      <w:pPr>
        <w:spacing w:after="160"/>
      </w:pPr>
      <w:r>
        <w:rPr>
          <w:rFonts w:ascii="Calibri" w:hAnsi="Calibri"/>
          <w:b w:val="0"/>
          <w:i/>
          <w:sz w:val="20"/>
        </w:rPr>
        <w:t>Table 2. Global regression metrics — Stacking (selected by CV R²).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r>
              <w:rPr>
                <w:b/>
                <w:color w:val="FFFFFF"/>
                <w:sz w:val="18"/>
              </w:rPr>
              <w:t>Model</w:t>
            </w:r>
          </w:p>
        </w:tc>
        <w:tc>
          <w:tcPr>
            <w:tcW w:type="dxa" w:w="1949"/>
            <w:shd w:fill="1F4E79" w:val="clear"/>
          </w:tcPr>
          <w:p>
            <w:r>
              <w:rPr>
                <w:b/>
                <w:color w:val="FFFFFF"/>
                <w:sz w:val="18"/>
              </w:rPr>
              <w:t>CV R²</w:t>
            </w:r>
          </w:p>
        </w:tc>
        <w:tc>
          <w:tcPr>
            <w:tcW w:type="dxa" w:w="1949"/>
            <w:shd w:fill="1F4E79" w:val="clear"/>
          </w:tcPr>
          <w:p>
            <w:r>
              <w:rPr>
                <w:b/>
                <w:color w:val="FFFFFF"/>
                <w:sz w:val="18"/>
              </w:rPr>
              <w:t>Test R²</w:t>
            </w:r>
          </w:p>
        </w:tc>
        <w:tc>
          <w:tcPr>
            <w:tcW w:type="dxa" w:w="1949"/>
            <w:shd w:fill="1F4E79" w:val="clear"/>
          </w:tcPr>
          <w:p>
            <w:r>
              <w:rPr>
                <w:b/>
                <w:color w:val="FFFFFF"/>
                <w:sz w:val="18"/>
              </w:rPr>
              <w:t>CV RMSE</w:t>
            </w:r>
          </w:p>
        </w:tc>
        <w:tc>
          <w:tcPr>
            <w:tcW w:type="dxa" w:w="1949"/>
            <w:shd w:fill="1F4E79" w:val="clear"/>
          </w:tcPr>
          <w:p>
            <w:r>
              <w:rPr>
                <w:b/>
                <w:color w:val="FFFFFF"/>
                <w:sz w:val="18"/>
              </w:rPr>
              <w:t>Test RMSE</w:t>
            </w:r>
          </w:p>
        </w:tc>
      </w:tr>
      <w:tr>
        <w:tc>
          <w:tcPr>
            <w:tcW w:type="dxa" w:w="1949"/>
          </w:tcPr>
          <w:p>
            <w:r>
              <w:rPr>
                <w:sz w:val="18"/>
              </w:rPr>
              <w:t>RandomForest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0.234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0.341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0.907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0.771</w:t>
            </w:r>
          </w:p>
        </w:tc>
      </w:tr>
      <w:tr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ExtraTrees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0.274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0.360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0.883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0.760</w:t>
            </w:r>
          </w:p>
        </w:tc>
      </w:tr>
      <w:tr>
        <w:tc>
          <w:tcPr>
            <w:tcW w:type="dxa" w:w="1949"/>
          </w:tcPr>
          <w:p>
            <w:r>
              <w:rPr>
                <w:sz w:val="18"/>
              </w:rPr>
              <w:t>HistGradBoost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0.224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0.326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0.913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0.780</w:t>
            </w:r>
          </w:p>
        </w:tc>
      </w:tr>
      <w:tr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Ridge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0.123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0.041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0.970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0.930</w:t>
            </w:r>
          </w:p>
        </w:tc>
      </w:tr>
      <w:tr>
        <w:tc>
          <w:tcPr>
            <w:tcW w:type="dxa" w:w="1949"/>
          </w:tcPr>
          <w:p>
            <w:r>
              <w:rPr>
                <w:sz w:val="18"/>
              </w:rPr>
              <w:t>LinearSVR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0.035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−0.047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1.018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0.972</w:t>
            </w:r>
          </w:p>
        </w:tc>
      </w:tr>
      <w:tr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XGBoost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0.261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0.346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0.891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0.768</w:t>
            </w:r>
          </w:p>
        </w:tc>
      </w:tr>
      <w:tr>
        <w:tc>
          <w:tcPr>
            <w:tcW w:type="dxa" w:w="1949"/>
          </w:tcPr>
          <w:p>
            <w:r>
              <w:rPr>
                <w:sz w:val="18"/>
              </w:rPr>
              <w:t>LightGBM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0.217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0.373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0.917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0.752</w:t>
            </w:r>
          </w:p>
        </w:tc>
      </w:tr>
      <w:tr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Stacking (selected)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0.284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0.319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0.877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0.784</w:t>
            </w:r>
          </w:p>
        </w:tc>
      </w:tr>
    </w:tbl>
    <w:p/>
    <w:p>
      <w:pPr>
        <w:spacing w:after="160"/>
      </w:pPr>
      <w:r>
        <w:rPr>
          <w:rFonts w:ascii="Calibri" w:hAnsi="Calibri"/>
          <w:b w:val="0"/>
          <w:i/>
          <w:sz w:val="20"/>
        </w:rPr>
        <w:t>Table 3. Global regression model comparison.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9674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_00_model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967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sz w:val="20"/>
        </w:rPr>
        <w:t>Figure 1. Regression model comparison (CV vs Test R²).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1288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_01_distribu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128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sz w:val="20"/>
        </w:rPr>
        <w:t>Figure 2. pMIC / MIC distributions.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43749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_02_pred_vs_ex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374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sz w:val="20"/>
        </w:rPr>
        <w:t>Figure 3. Predicted vs experimental pMIC.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5921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_03_residua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59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sz w:val="20"/>
        </w:rPr>
        <w:t>Figure 4. Residual plots.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1678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_04_error_distribu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167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sz w:val="20"/>
        </w:rPr>
        <w:t>Figure 5. Error distributions.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52572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_05_metrics_summa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2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sz w:val="20"/>
        </w:rPr>
        <w:t>Figure 6. Regression metrics summary.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5434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_06_cv_perform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543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sz w:val="20"/>
        </w:rPr>
        <w:t>Figure 7. Per-fold CV regression metrics.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5585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_07_embeddin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558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sz w:val="20"/>
        </w:rPr>
        <w:t>Figure 8. Chemical-space embeddings (regression).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432368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_08_shap_summa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323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sz w:val="20"/>
        </w:rPr>
        <w:t>Figure 9. Regression SHAP summary.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96560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_09_feature_importa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965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sz w:val="20"/>
        </w:rPr>
        <w:t>Figure 10. Regression feature importance.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95582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_10_shap_dependenc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9558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sz w:val="20"/>
        </w:rPr>
        <w:t>Figure 11. Regression SHAP dependence.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16785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_11_y_randomiza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167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sz w:val="20"/>
        </w:rPr>
        <w:t>Figure 12. Y-randomization (regression).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82283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_12_williams_plo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22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sz w:val="20"/>
        </w:rPr>
        <w:t>Figure 13. Williams plot (applicability domain).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96740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_13_rmse_comparis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967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sz w:val="20"/>
        </w:rPr>
        <w:t>Figure 14. RMSE comparison across regressors.</w:t>
      </w:r>
    </w:p>
    <w:p>
      <w:pPr>
        <w:pStyle w:val="Heading2"/>
      </w:pPr>
      <w:r>
        <w:t>3.3 Classification (pMIC ≥ 6.0)</w:t>
      </w:r>
    </w:p>
    <w:p>
      <w:pPr>
        <w:spacing w:after="160"/>
      </w:pPr>
      <w:r>
        <w:rPr>
          <w:rFonts w:ascii="Calibri" w:hAnsi="Calibri"/>
          <w:b w:val="0"/>
          <w:i w:val="0"/>
          <w:sz w:val="22"/>
        </w:rPr>
        <w:t>After gray-zone exclusion, classification training used 21,034 compounds (18.1% active); test retained 7,190 (11.5% active). Stacking achieved the best CV ROC-AUC (0.836); ExtraTrees/LightGBM showed stronger Test F1 (~0.46–0.51). Final saved classifier: Stacking (T = 6).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r>
              <w:rPr>
                <w:b/>
                <w:color w:val="FFFFFF"/>
                <w:sz w:val="18"/>
              </w:rPr>
              <w:t>Model</w:t>
            </w:r>
          </w:p>
        </w:tc>
        <w:tc>
          <w:tcPr>
            <w:tcW w:type="dxa" w:w="1949"/>
            <w:shd w:fill="1F4E79" w:val="clear"/>
          </w:tcPr>
          <w:p>
            <w:r>
              <w:rPr>
                <w:b/>
                <w:color w:val="FFFFFF"/>
                <w:sz w:val="18"/>
              </w:rPr>
              <w:t>CV AUC</w:t>
            </w:r>
          </w:p>
        </w:tc>
        <w:tc>
          <w:tcPr>
            <w:tcW w:type="dxa" w:w="1949"/>
            <w:shd w:fill="1F4E79" w:val="clear"/>
          </w:tcPr>
          <w:p>
            <w:r>
              <w:rPr>
                <w:b/>
                <w:color w:val="FFFFFF"/>
                <w:sz w:val="18"/>
              </w:rPr>
              <w:t>Test AUC</w:t>
            </w:r>
          </w:p>
        </w:tc>
        <w:tc>
          <w:tcPr>
            <w:tcW w:type="dxa" w:w="1949"/>
            <w:shd w:fill="1F4E79" w:val="clear"/>
          </w:tcPr>
          <w:p>
            <w:r>
              <w:rPr>
                <w:b/>
                <w:color w:val="FFFFFF"/>
                <w:sz w:val="18"/>
              </w:rPr>
              <w:t>CV F1</w:t>
            </w:r>
          </w:p>
        </w:tc>
        <w:tc>
          <w:tcPr>
            <w:tcW w:type="dxa" w:w="1949"/>
            <w:shd w:fill="1F4E79" w:val="clear"/>
          </w:tcPr>
          <w:p>
            <w:r>
              <w:rPr>
                <w:b/>
                <w:color w:val="FFFFFF"/>
                <w:sz w:val="18"/>
              </w:rPr>
              <w:t>Test F1</w:t>
            </w:r>
          </w:p>
        </w:tc>
      </w:tr>
      <w:tr>
        <w:tc>
          <w:tcPr>
            <w:tcW w:type="dxa" w:w="1949"/>
          </w:tcPr>
          <w:p>
            <w:r>
              <w:rPr>
                <w:sz w:val="18"/>
              </w:rPr>
              <w:t>LinearSVM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0.788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0.675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0.485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0.316</w:t>
            </w:r>
          </w:p>
        </w:tc>
      </w:tr>
      <w:tr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LogisticReg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0.792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0.678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0.496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0.328</w:t>
            </w:r>
          </w:p>
        </w:tc>
      </w:tr>
      <w:tr>
        <w:tc>
          <w:tcPr>
            <w:tcW w:type="dxa" w:w="1949"/>
          </w:tcPr>
          <w:p>
            <w:r>
              <w:rPr>
                <w:sz w:val="18"/>
              </w:rPr>
              <w:t>RandomForest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0.826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0.820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0.579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0.489</w:t>
            </w:r>
          </w:p>
        </w:tc>
      </w:tr>
      <w:tr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ExtraTrees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0.830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0.817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0.625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0.506</w:t>
            </w:r>
          </w:p>
        </w:tc>
      </w:tr>
      <w:tr>
        <w:tc>
          <w:tcPr>
            <w:tcW w:type="dxa" w:w="1949"/>
          </w:tcPr>
          <w:p>
            <w:r>
              <w:rPr>
                <w:sz w:val="18"/>
              </w:rPr>
              <w:t>HistGradBoost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0.808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0.802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0.553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0.462</w:t>
            </w:r>
          </w:p>
        </w:tc>
      </w:tr>
      <w:tr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XGBoost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0.829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0.817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0.570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0.477</w:t>
            </w:r>
          </w:p>
        </w:tc>
      </w:tr>
      <w:tr>
        <w:tc>
          <w:tcPr>
            <w:tcW w:type="dxa" w:w="1949"/>
          </w:tcPr>
          <w:p>
            <w:r>
              <w:rPr>
                <w:sz w:val="18"/>
              </w:rPr>
              <w:t>LightGBM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0.834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0.823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0.619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0.464</w:t>
            </w:r>
          </w:p>
        </w:tc>
      </w:tr>
      <w:tr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Stacking (saved)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0.836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0.825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0.628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0.218*</w:t>
            </w:r>
          </w:p>
        </w:tc>
      </w:tr>
    </w:tbl>
    <w:p/>
    <w:p>
      <w:pPr>
        <w:spacing w:after="160"/>
      </w:pPr>
      <w:r>
        <w:rPr>
          <w:rFonts w:ascii="Calibri" w:hAnsi="Calibri"/>
          <w:b w:val="0"/>
          <w:i/>
          <w:sz w:val="20"/>
        </w:rPr>
        <w:t>Table 4. Classification comparison at pMIC ≥ 6. *Stacking Test F1 depends strongly on the optimized decision threshold; probability ranking (AUC) remains strong.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r>
              <w:rPr>
                <w:b/>
                <w:color w:val="FFFFFF"/>
                <w:sz w:val="18"/>
              </w:rPr>
              <w:t>Set</w:t>
            </w:r>
          </w:p>
        </w:tc>
        <w:tc>
          <w:tcPr>
            <w:tcW w:type="dxa" w:w="1624"/>
            <w:shd w:fill="1F4E79" w:val="clear"/>
          </w:tcPr>
          <w:p>
            <w:r>
              <w:rPr>
                <w:b/>
                <w:color w:val="FFFFFF"/>
                <w:sz w:val="18"/>
              </w:rPr>
              <w:t>Accuracy</w:t>
            </w:r>
          </w:p>
        </w:tc>
        <w:tc>
          <w:tcPr>
            <w:tcW w:type="dxa" w:w="1624"/>
            <w:shd w:fill="1F4E79" w:val="clear"/>
          </w:tcPr>
          <w:p>
            <w:r>
              <w:rPr>
                <w:b/>
                <w:color w:val="FFFFFF"/>
                <w:sz w:val="18"/>
              </w:rPr>
              <w:t>Bal. Acc.</w:t>
            </w:r>
          </w:p>
        </w:tc>
        <w:tc>
          <w:tcPr>
            <w:tcW w:type="dxa" w:w="1624"/>
            <w:shd w:fill="1F4E79" w:val="clear"/>
          </w:tcPr>
          <w:p>
            <w:r>
              <w:rPr>
                <w:b/>
                <w:color w:val="FFFFFF"/>
                <w:sz w:val="18"/>
              </w:rPr>
              <w:t>ROC-AUC</w:t>
            </w:r>
          </w:p>
        </w:tc>
        <w:tc>
          <w:tcPr>
            <w:tcW w:type="dxa" w:w="1624"/>
            <w:shd w:fill="1F4E79" w:val="clear"/>
          </w:tcPr>
          <w:p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1624"/>
            <w:shd w:fill="1F4E79" w:val="clear"/>
          </w:tcPr>
          <w:p>
            <w:r>
              <w:rPr>
                <w:b/>
                <w:color w:val="FFFFFF"/>
                <w:sz w:val="18"/>
              </w:rPr>
              <w:t>MCC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Train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0.606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0.760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0.986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0.478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0.404</w:t>
            </w:r>
          </w:p>
        </w:tc>
      </w:tr>
      <w:tr>
        <w:tc>
          <w:tcPr>
            <w:tcW w:type="dxa" w:w="1624"/>
            <w:shd w:fill="F2F2F2" w:val="clear"/>
          </w:tcPr>
          <w:p>
            <w:r>
              <w:rPr>
                <w:sz w:val="18"/>
              </w:rPr>
              <w:t>CV (OOF)</w:t>
            </w:r>
          </w:p>
        </w:tc>
        <w:tc>
          <w:tcPr>
            <w:tcW w:type="dxa" w:w="1624"/>
            <w:shd w:fill="F2F2F2" w:val="clear"/>
          </w:tcPr>
          <w:p>
            <w:r>
              <w:rPr>
                <w:sz w:val="18"/>
              </w:rPr>
              <w:t>0.853</w:t>
            </w:r>
          </w:p>
        </w:tc>
        <w:tc>
          <w:tcPr>
            <w:tcW w:type="dxa" w:w="1624"/>
            <w:shd w:fill="F2F2F2" w:val="clear"/>
          </w:tcPr>
          <w:p>
            <w:r>
              <w:rPr>
                <w:sz w:val="18"/>
              </w:rPr>
              <w:t>0.787</w:t>
            </w:r>
          </w:p>
        </w:tc>
        <w:tc>
          <w:tcPr>
            <w:tcW w:type="dxa" w:w="1624"/>
            <w:shd w:fill="F2F2F2" w:val="clear"/>
          </w:tcPr>
          <w:p>
            <w:r>
              <w:rPr>
                <w:sz w:val="18"/>
              </w:rPr>
              <w:t>0.836</w:t>
            </w:r>
          </w:p>
        </w:tc>
        <w:tc>
          <w:tcPr>
            <w:tcW w:type="dxa" w:w="1624"/>
            <w:shd w:fill="F2F2F2" w:val="clear"/>
          </w:tcPr>
          <w:p>
            <w:r>
              <w:rPr>
                <w:sz w:val="18"/>
              </w:rPr>
              <w:t>0.628</w:t>
            </w:r>
          </w:p>
        </w:tc>
        <w:tc>
          <w:tcPr>
            <w:tcW w:type="dxa" w:w="1624"/>
            <w:shd w:fill="F2F2F2" w:val="clear"/>
          </w:tcPr>
          <w:p>
            <w:r>
              <w:rPr>
                <w:sz w:val="18"/>
              </w:rPr>
              <w:t>0.540</w:t>
            </w:r>
          </w:p>
        </w:tc>
      </w:tr>
      <w:tr>
        <w:tc>
          <w:tcPr>
            <w:tcW w:type="dxa" w:w="1624"/>
          </w:tcPr>
          <w:p>
            <w:r>
              <w:rPr>
                <w:sz w:val="18"/>
              </w:rPr>
              <w:t>Test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0.174*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0.531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0.825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0.218</w:t>
            </w:r>
          </w:p>
        </w:tc>
        <w:tc>
          <w:tcPr>
            <w:tcW w:type="dxa" w:w="1624"/>
          </w:tcPr>
          <w:p>
            <w:r>
              <w:rPr>
                <w:sz w:val="18"/>
              </w:rPr>
              <w:t>0.084</w:t>
            </w:r>
          </w:p>
        </w:tc>
      </w:tr>
    </w:tbl>
    <w:p/>
    <w:p>
      <w:pPr>
        <w:spacing w:after="160"/>
      </w:pPr>
      <w:r>
        <w:rPr>
          <w:rFonts w:ascii="Calibri" w:hAnsi="Calibri"/>
          <w:b w:val="0"/>
          <w:i/>
          <w:sz w:val="20"/>
        </w:rPr>
        <w:t>Table 5. Detailed Stacking metrics at its bal-acc threshold. For screening, Active_probability ranking (AUC) is the primary quality metric.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96740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00_model_comparis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967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sz w:val="20"/>
        </w:rPr>
        <w:t>Figure 15. Classification model comparison.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82176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01_class_distribut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821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sz w:val="20"/>
        </w:rPr>
        <w:t>Figure 16. Active/Inactive distributions.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437491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02_roc_curv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374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sz w:val="20"/>
        </w:rPr>
        <w:t>Figure 17. ROC curves.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437491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03_pr_curv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374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sz w:val="20"/>
        </w:rPr>
        <w:t>Figure 18. Precision–Recall curves.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26810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04_confusion_matrix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68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sz w:val="20"/>
        </w:rPr>
        <w:t>Figure 19. Confusion matrices.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25438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05_metrics_summar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254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sz w:val="20"/>
        </w:rPr>
        <w:t>Figure 20. Classification metrics summary.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15526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06_cv_performanc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155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sz w:val="20"/>
        </w:rPr>
        <w:t>Figure 21. Per-fold CV classification metrics.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55537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07_embedding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5553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sz w:val="20"/>
        </w:rPr>
        <w:t>Figure 22. Chemical-space embeddings (classification).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429678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08_shap_summar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296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sz w:val="20"/>
        </w:rPr>
        <w:t>Figure 23. Classification SHAP summary.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96560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09_feature_importanc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965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sz w:val="20"/>
        </w:rPr>
        <w:t>Figure 24. Classification feature importance.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96611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10_shap_dependenc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966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sz w:val="20"/>
        </w:rPr>
        <w:t>Figure 25. Classification SHAP dependence.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16785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11_y_randomiz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167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sz w:val="20"/>
        </w:rPr>
        <w:t>Figure 26. Y-randomization (classification).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96740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12_f1_comparison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967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sz w:val="20"/>
        </w:rPr>
        <w:t>Figure 27. F1 comparison across classifiers.</w:t>
      </w:r>
    </w:p>
    <w:p>
      <w:pPr>
        <w:pStyle w:val="Heading2"/>
      </w:pPr>
      <w:r>
        <w:t>3.4 Classification fingerprint highlights</w:t>
      </w:r>
    </w:p>
    <w:p>
      <w:pPr>
        <w:spacing w:after="160"/>
      </w:pPr>
      <w:r>
        <w:rPr>
          <w:rFonts w:ascii="Calibri" w:hAnsi="Calibri"/>
          <w:b w:val="0"/>
          <w:i w:val="0"/>
          <w:sz w:val="22"/>
        </w:rPr>
        <w:t>Top SHAP fingerprint bits from an ExtraTrees surrogate on classification features were predominantly Morgan bits, led by morgan_215 and maccs_119. These were highlighted on the five test molecules with highest Active_probability (all experimental pMIC ≥ 7) and on reference antimycobacterials.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r>
              <w:rPr>
                <w:b/>
                <w:color w:val="FFFFFF"/>
                <w:sz w:val="18"/>
              </w:rPr>
              <w:t>Rank</w:t>
            </w:r>
          </w:p>
        </w:tc>
        <w:tc>
          <w:tcPr>
            <w:tcW w:type="dxa" w:w="2436"/>
            <w:shd w:fill="1F4E79" w:val="clear"/>
          </w:tcPr>
          <w:p>
            <w:r>
              <w:rPr>
                <w:b/>
                <w:color w:val="FFFFFF"/>
                <w:sz w:val="18"/>
              </w:rPr>
              <w:t>Feature</w:t>
            </w:r>
          </w:p>
        </w:tc>
        <w:tc>
          <w:tcPr>
            <w:tcW w:type="dxa" w:w="2436"/>
            <w:shd w:fill="1F4E79" w:val="clear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436"/>
            <w:shd w:fill="1F4E79" w:val="clear"/>
          </w:tcPr>
          <w:p>
            <w:r>
              <w:rPr>
                <w:b/>
                <w:color w:val="FFFFFF"/>
                <w:sz w:val="18"/>
              </w:rPr>
              <w:t>Mean |SHAP|</w:t>
            </w:r>
          </w:p>
        </w:tc>
      </w:tr>
      <w:tr>
        <w:tc>
          <w:tcPr>
            <w:tcW w:type="dxa" w:w="243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morgan_215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Morgan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0.00376</w:t>
            </w:r>
          </w:p>
        </w:tc>
      </w:tr>
      <w:tr>
        <w:tc>
          <w:tcPr>
            <w:tcW w:type="dxa" w:w="2436"/>
            <w:shd w:fill="F2F2F2" w:val="clea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436"/>
            <w:shd w:fill="F2F2F2" w:val="clear"/>
          </w:tcPr>
          <w:p>
            <w:r>
              <w:rPr>
                <w:sz w:val="18"/>
              </w:rPr>
              <w:t>maccs_119</w:t>
            </w:r>
          </w:p>
        </w:tc>
        <w:tc>
          <w:tcPr>
            <w:tcW w:type="dxa" w:w="2436"/>
            <w:shd w:fill="F2F2F2" w:val="clear"/>
          </w:tcPr>
          <w:p>
            <w:r>
              <w:rPr>
                <w:sz w:val="18"/>
              </w:rPr>
              <w:t>MACCS</w:t>
            </w:r>
          </w:p>
        </w:tc>
        <w:tc>
          <w:tcPr>
            <w:tcW w:type="dxa" w:w="2436"/>
            <w:shd w:fill="F2F2F2" w:val="clear"/>
          </w:tcPr>
          <w:p>
            <w:r>
              <w:rPr>
                <w:sz w:val="18"/>
              </w:rPr>
              <w:t>0.00338</w:t>
            </w:r>
          </w:p>
        </w:tc>
      </w:tr>
      <w:tr>
        <w:tc>
          <w:tcPr>
            <w:tcW w:type="dxa" w:w="243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morgan_1825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Morgan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0.00240</w:t>
            </w:r>
          </w:p>
        </w:tc>
      </w:tr>
      <w:tr>
        <w:tc>
          <w:tcPr>
            <w:tcW w:type="dxa" w:w="2436"/>
            <w:shd w:fill="F2F2F2" w:val="clear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436"/>
            <w:shd w:fill="F2F2F2" w:val="clear"/>
          </w:tcPr>
          <w:p>
            <w:r>
              <w:rPr>
                <w:sz w:val="18"/>
              </w:rPr>
              <w:t>morgan_284</w:t>
            </w:r>
          </w:p>
        </w:tc>
        <w:tc>
          <w:tcPr>
            <w:tcW w:type="dxa" w:w="2436"/>
            <w:shd w:fill="F2F2F2" w:val="clear"/>
          </w:tcPr>
          <w:p>
            <w:r>
              <w:rPr>
                <w:sz w:val="18"/>
              </w:rPr>
              <w:t>Morgan</w:t>
            </w:r>
          </w:p>
        </w:tc>
        <w:tc>
          <w:tcPr>
            <w:tcW w:type="dxa" w:w="2436"/>
            <w:shd w:fill="F2F2F2" w:val="clear"/>
          </w:tcPr>
          <w:p>
            <w:r>
              <w:rPr>
                <w:sz w:val="18"/>
              </w:rPr>
              <w:t>0.00240</w:t>
            </w:r>
          </w:p>
        </w:tc>
      </w:tr>
      <w:tr>
        <w:tc>
          <w:tcPr>
            <w:tcW w:type="dxa" w:w="2436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morgan_521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Morgan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0.00167</w:t>
            </w:r>
          </w:p>
        </w:tc>
      </w:tr>
      <w:tr>
        <w:tc>
          <w:tcPr>
            <w:tcW w:type="dxa" w:w="2436"/>
            <w:shd w:fill="F2F2F2" w:val="clear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436"/>
            <w:shd w:fill="F2F2F2" w:val="clear"/>
          </w:tcPr>
          <w:p>
            <w:r>
              <w:rPr>
                <w:sz w:val="18"/>
              </w:rPr>
              <w:t>morgan_1309</w:t>
            </w:r>
          </w:p>
        </w:tc>
        <w:tc>
          <w:tcPr>
            <w:tcW w:type="dxa" w:w="2436"/>
            <w:shd w:fill="F2F2F2" w:val="clear"/>
          </w:tcPr>
          <w:p>
            <w:r>
              <w:rPr>
                <w:sz w:val="18"/>
              </w:rPr>
              <w:t>Morgan</w:t>
            </w:r>
          </w:p>
        </w:tc>
        <w:tc>
          <w:tcPr>
            <w:tcW w:type="dxa" w:w="2436"/>
            <w:shd w:fill="F2F2F2" w:val="clear"/>
          </w:tcPr>
          <w:p>
            <w:r>
              <w:rPr>
                <w:sz w:val="18"/>
              </w:rPr>
              <w:t>0.00149</w:t>
            </w:r>
          </w:p>
        </w:tc>
      </w:tr>
      <w:tr>
        <w:tc>
          <w:tcPr>
            <w:tcW w:type="dxa" w:w="2436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morgan_2019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Morgan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0.00127</w:t>
            </w:r>
          </w:p>
        </w:tc>
      </w:tr>
      <w:tr>
        <w:tc>
          <w:tcPr>
            <w:tcW w:type="dxa" w:w="2436"/>
            <w:shd w:fill="F2F2F2" w:val="clear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436"/>
            <w:shd w:fill="F2F2F2" w:val="clear"/>
          </w:tcPr>
          <w:p>
            <w:r>
              <w:rPr>
                <w:sz w:val="18"/>
              </w:rPr>
              <w:t>morgan_1768</w:t>
            </w:r>
          </w:p>
        </w:tc>
        <w:tc>
          <w:tcPr>
            <w:tcW w:type="dxa" w:w="2436"/>
            <w:shd w:fill="F2F2F2" w:val="clear"/>
          </w:tcPr>
          <w:p>
            <w:r>
              <w:rPr>
                <w:sz w:val="18"/>
              </w:rPr>
              <w:t>Morgan</w:t>
            </w:r>
          </w:p>
        </w:tc>
        <w:tc>
          <w:tcPr>
            <w:tcW w:type="dxa" w:w="2436"/>
            <w:shd w:fill="F2F2F2" w:val="clear"/>
          </w:tcPr>
          <w:p>
            <w:r>
              <w:rPr>
                <w:sz w:val="18"/>
              </w:rPr>
              <w:t>0.00103</w:t>
            </w:r>
          </w:p>
        </w:tc>
      </w:tr>
    </w:tbl>
    <w:p/>
    <w:p>
      <w:pPr>
        <w:spacing w:after="160"/>
      </w:pPr>
      <w:r>
        <w:rPr>
          <w:rFonts w:ascii="Calibri" w:hAnsi="Calibri"/>
          <w:b w:val="0"/>
          <w:i/>
          <w:sz w:val="20"/>
        </w:rPr>
        <w:t>Table 6. Top classification SHAP fingerprint features.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r>
              <w:rPr>
                <w:b/>
                <w:color w:val="FFFFFF"/>
                <w:sz w:val="18"/>
              </w:rPr>
              <w:t>Rank</w:t>
            </w:r>
          </w:p>
        </w:tc>
        <w:tc>
          <w:tcPr>
            <w:tcW w:type="dxa" w:w="1949"/>
            <w:shd w:fill="1F4E79" w:val="clear"/>
          </w:tcPr>
          <w:p>
            <w:r>
              <w:rPr>
                <w:b/>
                <w:color w:val="FFFFFF"/>
                <w:sz w:val="18"/>
              </w:rPr>
              <w:t>Exp. pMIC</w:t>
            </w:r>
          </w:p>
        </w:tc>
        <w:tc>
          <w:tcPr>
            <w:tcW w:type="dxa" w:w="1949"/>
            <w:shd w:fill="1F4E79" w:val="clear"/>
          </w:tcPr>
          <w:p>
            <w:r>
              <w:rPr>
                <w:b/>
                <w:color w:val="FFFFFF"/>
                <w:sz w:val="18"/>
              </w:rPr>
              <w:t>Pred. pMIC</w:t>
            </w:r>
          </w:p>
        </w:tc>
        <w:tc>
          <w:tcPr>
            <w:tcW w:type="dxa" w:w="1949"/>
            <w:shd w:fill="1F4E79" w:val="clear"/>
          </w:tcPr>
          <w:p>
            <w:r>
              <w:rPr>
                <w:b/>
                <w:color w:val="FFFFFF"/>
                <w:sz w:val="18"/>
              </w:rPr>
              <w:t>P(active)</w:t>
            </w:r>
          </w:p>
        </w:tc>
        <w:tc>
          <w:tcPr>
            <w:tcW w:type="dxa" w:w="1949"/>
            <w:shd w:fill="1F4E79" w:val="clear"/>
          </w:tcPr>
          <w:p>
            <w:r>
              <w:rPr>
                <w:b/>
                <w:color w:val="FFFFFF"/>
                <w:sz w:val="18"/>
              </w:rPr>
              <w:t>Active actual/pred</w:t>
            </w:r>
          </w:p>
        </w:tc>
      </w:tr>
      <w:tr>
        <w:tc>
          <w:tcPr>
            <w:tcW w:type="dxa" w:w="1949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7.00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7.20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0.996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1 / 1</w:t>
            </w:r>
          </w:p>
        </w:tc>
      </w:tr>
      <w:tr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7.00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6.77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0.996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1 / 1</w:t>
            </w:r>
          </w:p>
        </w:tc>
      </w:tr>
      <w:tr>
        <w:tc>
          <w:tcPr>
            <w:tcW w:type="dxa" w:w="1949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7.62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7.38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0.996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1 / 1</w:t>
            </w:r>
          </w:p>
        </w:tc>
      </w:tr>
      <w:tr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7.66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7.66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0.996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1 / 1</w:t>
            </w:r>
          </w:p>
        </w:tc>
      </w:tr>
      <w:tr>
        <w:tc>
          <w:tcPr>
            <w:tcW w:type="dxa" w:w="1949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7.00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6.98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0.996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1 / 1</w:t>
            </w:r>
          </w:p>
        </w:tc>
      </w:tr>
    </w:tbl>
    <w:p/>
    <w:p>
      <w:pPr>
        <w:spacing w:after="160"/>
      </w:pPr>
      <w:r>
        <w:rPr>
          <w:rFonts w:ascii="Calibri" w:hAnsi="Calibri"/>
          <w:b w:val="0"/>
          <w:i/>
          <w:sz w:val="20"/>
        </w:rPr>
        <w:t>Table 7. Top-5 test compounds by Active_probability (also in test_top5_cls_active_probability.xlsx and preprocessed_data.xlsx).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396343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top1_Pactive_1p00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96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sz w:val="20"/>
        </w:rPr>
        <w:t>Figure 28. Test top-1 by P(active) — FP highlights.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396343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top2_Pactive_1p00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96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sz w:val="20"/>
        </w:rPr>
        <w:t>Figure 29. Test top-2 — FP highlights.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39634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top3_Pactive_1p0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96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sz w:val="20"/>
        </w:rPr>
        <w:t>Figure 30. Test top-3 — FP highlights.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39634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top4_Pactive_1p00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96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sz w:val="20"/>
        </w:rPr>
        <w:t>Figure 31. Test top-4 — FP highlights.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39634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top5_Pactive_1p0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96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sz w:val="20"/>
        </w:rPr>
        <w:t>Figure 32. Test top-5 — FP highlights.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396343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_Isoniazid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96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sz w:val="20"/>
        </w:rPr>
        <w:t>Figure 33. Isoniazid — classification FP highlights.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396343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_Rifampin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96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sz w:val="20"/>
        </w:rPr>
        <w:t>Figure 34. Rifampin — classification FP highlights.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39634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_Pyrazinamid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96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sz w:val="20"/>
        </w:rPr>
        <w:t>Figure 35. Pyrazinamide — classification FP highlights.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39634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_Ethambutol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96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sz w:val="20"/>
        </w:rPr>
        <w:t>Figure 36. Ethambutol — classification FP highlights.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396343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_Bedaquilin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96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sz w:val="20"/>
        </w:rPr>
        <w:t>Figure 37. Bedaquiline — classification FP highlights.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396343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_Delamanid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96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sz w:val="20"/>
        </w:rPr>
        <w:t>Figure 38. Delamanid — classification FP highlights.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396343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_Pretomanid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96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sz w:val="20"/>
        </w:rPr>
        <w:t>Figure 39. Pretomanid — classification FP highlights.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396343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_Linezolid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96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sz w:val="20"/>
        </w:rPr>
        <w:t>Figure 40. Linezolid — classification FP highlights.</w:t>
      </w:r>
    </w:p>
    <w:p>
      <w:pPr>
        <w:pStyle w:val="Heading2"/>
      </w:pPr>
      <w:r>
        <w:t>3.5 Cascade classification → active-only regression</w:t>
      </w:r>
    </w:p>
    <w:p>
      <w:pPr>
        <w:spacing w:after="160"/>
      </w:pPr>
      <w:r>
        <w:rPr>
          <w:rFonts w:ascii="Calibri" w:hAnsi="Calibri"/>
          <w:b w:val="0"/>
          <w:i w:val="0"/>
          <w:sz w:val="22"/>
        </w:rPr>
        <w:t>The global regressor ranked the full test set moderately (R² = 0.319) but failed to calibrate potency among true actives (R² = −3.90, RMSE = 1.16). An active-only RandomForest regressor trained solely on train actives recovered usable potency estimation on true test actives (Oracle R² = 0.183, RMSE = 0.473). Pipeline performance on predicted-actives is degraded by false positives, as expected.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949"/>
            <w:shd w:fill="1F4E79" w:val="clear"/>
          </w:tcPr>
          <w:p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1949"/>
            <w:shd w:fill="1F4E79" w:val="clear"/>
          </w:tcPr>
          <w:p>
            <w:r>
              <w:rPr>
                <w:b/>
                <w:color w:val="FFFFFF"/>
                <w:sz w:val="18"/>
              </w:rPr>
              <w:t>R²</w:t>
            </w:r>
          </w:p>
        </w:tc>
        <w:tc>
          <w:tcPr>
            <w:tcW w:type="dxa" w:w="1949"/>
            <w:shd w:fill="1F4E79" w:val="clear"/>
          </w:tcPr>
          <w:p>
            <w:r>
              <w:rPr>
                <w:b/>
                <w:color w:val="FFFFFF"/>
                <w:sz w:val="18"/>
              </w:rPr>
              <w:t>RMSE</w:t>
            </w:r>
          </w:p>
        </w:tc>
        <w:tc>
          <w:tcPr>
            <w:tcW w:type="dxa" w:w="1949"/>
            <w:shd w:fill="1F4E79" w:val="clear"/>
          </w:tcPr>
          <w:p>
            <w:r>
              <w:rPr>
                <w:b/>
                <w:color w:val="FFFFFF"/>
                <w:sz w:val="18"/>
              </w:rPr>
              <w:t>MAE</w:t>
            </w:r>
          </w:p>
        </w:tc>
      </w:tr>
      <w:tr>
        <w:tc>
          <w:tcPr>
            <w:tcW w:type="dxa" w:w="1949"/>
          </w:tcPr>
          <w:p>
            <w:r>
              <w:rPr>
                <w:sz w:val="18"/>
              </w:rPr>
              <w:t>Baseline full-reg, all test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7190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0.319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0.784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0.615</w:t>
            </w:r>
          </w:p>
        </w:tc>
      </w:tr>
      <w:tr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Baseline full-reg, true actives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830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−3.901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1.159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0.963</w:t>
            </w:r>
          </w:p>
        </w:tc>
      </w:tr>
      <w:tr>
        <w:tc>
          <w:tcPr>
            <w:tcW w:type="dxa" w:w="1949"/>
          </w:tcPr>
          <w:p>
            <w:r>
              <w:rPr>
                <w:sz w:val="18"/>
              </w:rPr>
              <w:t>Oracle active-reg, true actives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830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0.183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0.473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0.349</w:t>
            </w:r>
          </w:p>
        </w:tc>
      </w:tr>
      <w:tr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Pipeline active-reg, pred. actives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981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−0.521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1.304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1.015</w:t>
            </w:r>
          </w:p>
        </w:tc>
      </w:tr>
      <w:tr>
        <w:tc>
          <w:tcPr>
            <w:tcW w:type="dxa" w:w="1949"/>
          </w:tcPr>
          <w:p>
            <w:r>
              <w:rPr>
                <w:sz w:val="18"/>
              </w:rPr>
              <w:t>Pipeline true positives only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449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0.116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0.519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  <w:t>0.368</w:t>
            </w:r>
          </w:p>
        </w:tc>
      </w:tr>
      <w:tr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Hybrid (inactive→5.5) all test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7190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−0.577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1.193</w:t>
            </w:r>
          </w:p>
        </w:tc>
        <w:tc>
          <w:tcPr>
            <w:tcW w:type="dxa" w:w="1949"/>
            <w:shd w:fill="F2F2F2" w:val="clear"/>
          </w:tcPr>
          <w:p>
            <w:r>
              <w:rPr>
                <w:sz w:val="18"/>
              </w:rPr>
              <w:t>0.990</w:t>
            </w:r>
          </w:p>
        </w:tc>
      </w:tr>
    </w:tbl>
    <w:p/>
    <w:p>
      <w:pPr>
        <w:spacing w:after="160"/>
      </w:pPr>
      <w:r>
        <w:rPr>
          <w:rFonts w:ascii="Calibri" w:hAnsi="Calibri"/>
          <w:b w:val="0"/>
          <w:i/>
          <w:sz w:val="20"/>
        </w:rPr>
        <w:t>Table 8. Cascade vs baseline regression on the Butina test set.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700179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cade_01_pred_vs_exp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700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sz w:val="20"/>
        </w:rPr>
        <w:t>Figure 41. Cascade vs baseline — predicted vs experimental pMIC (test).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512373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cade_02_r2_comparison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12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sz w:val="20"/>
        </w:rPr>
        <w:t>Figure 42. Cascade scenario R² comparison.</w:t>
      </w:r>
    </w:p>
    <w:p>
      <w:pPr>
        <w:pStyle w:val="Heading2"/>
      </w:pPr>
      <w:r>
        <w:t>3.6 External validation</w:t>
      </w:r>
    </w:p>
    <w:p>
      <w:pPr>
        <w:spacing w:after="160"/>
      </w:pPr>
      <w:r>
        <w:rPr>
          <w:rFonts w:ascii="Calibri" w:hAnsi="Calibri"/>
          <w:b w:val="0"/>
          <w:i w:val="0"/>
          <w:sz w:val="22"/>
        </w:rPr>
        <w:t>On Cleaned_External_Validation.xlsx (n = 122) with cutoff 6.0, the global regressor achieved R² = 0.317. Classification yielded ROC-AUC = 0.760, balanced accuracy = 0.755, F1 = 0.435. Cascade oracle RMSE on the 14 true external actives was low (0.177), while pipeline metrics again suffered from false positives.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249"/>
            <w:shd w:fill="1F4E79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249"/>
            <w:shd w:fill="1F4E79" w:val="clear"/>
          </w:tcPr>
          <w:p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  <w:t>Regression (global)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  <w:t>R² / RMSE / MAE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  <w:t>0.317 / 0.719 / 0.586</w:t>
            </w:r>
          </w:p>
        </w:tc>
      </w:tr>
      <w:tr>
        <w:tc>
          <w:tcPr>
            <w:tcW w:type="dxa" w:w="3249"/>
            <w:shd w:fill="F2F2F2" w:val="clear"/>
          </w:tcPr>
          <w:p>
            <w:r>
              <w:rPr>
                <w:sz w:val="18"/>
              </w:rPr>
              <w:t>Classification (T=6)</w:t>
            </w:r>
          </w:p>
        </w:tc>
        <w:tc>
          <w:tcPr>
            <w:tcW w:type="dxa" w:w="3249"/>
            <w:shd w:fill="F2F2F2" w:val="clear"/>
          </w:tcPr>
          <w:p>
            <w:r>
              <w:rPr>
                <w:sz w:val="18"/>
              </w:rPr>
              <w:t>AUC / BalAcc / F1 / MCC</w:t>
            </w:r>
          </w:p>
        </w:tc>
        <w:tc>
          <w:tcPr>
            <w:tcW w:type="dxa" w:w="3249"/>
            <w:shd w:fill="F2F2F2" w:val="clear"/>
          </w:tcPr>
          <w:p>
            <w:r>
              <w:rPr>
                <w:sz w:val="18"/>
              </w:rPr>
              <w:t>0.760 / 0.755 / 0.435 / 0.370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  <w:t>Cascade oracle (n=14 actives)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  <w:t>R² / RMSE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  <w:t>0.065 / 0.177</w:t>
            </w:r>
          </w:p>
        </w:tc>
      </w:tr>
      <w:tr>
        <w:tc>
          <w:tcPr>
            <w:tcW w:type="dxa" w:w="3249"/>
            <w:shd w:fill="F2F2F2" w:val="clear"/>
          </w:tcPr>
          <w:p>
            <w:r>
              <w:rPr>
                <w:sz w:val="18"/>
              </w:rPr>
              <w:t>Cascade pipeline (n=34 pred.)</w:t>
            </w:r>
          </w:p>
        </w:tc>
        <w:tc>
          <w:tcPr>
            <w:tcW w:type="dxa" w:w="3249"/>
            <w:shd w:fill="F2F2F2" w:val="clear"/>
          </w:tcPr>
          <w:p>
            <w:r>
              <w:rPr>
                <w:sz w:val="18"/>
              </w:rPr>
              <w:t>R² / RMSE</w:t>
            </w:r>
          </w:p>
        </w:tc>
        <w:tc>
          <w:tcPr>
            <w:tcW w:type="dxa" w:w="3249"/>
            <w:shd w:fill="F2F2F2" w:val="clear"/>
          </w:tcPr>
          <w:p>
            <w:r>
              <w:rPr>
                <w:sz w:val="18"/>
              </w:rPr>
              <w:t>−1.616 / 0.816</w:t>
            </w:r>
          </w:p>
        </w:tc>
      </w:tr>
    </w:tbl>
    <w:p/>
    <w:p>
      <w:pPr>
        <w:spacing w:after="160"/>
      </w:pPr>
      <w:r>
        <w:rPr>
          <w:rFonts w:ascii="Calibri" w:hAnsi="Calibri"/>
          <w:b w:val="0"/>
          <w:i/>
          <w:sz w:val="20"/>
        </w:rPr>
        <w:t>Table 9. External validation summary.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100038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ternal_01_pred_vs_exp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100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sz w:val="20"/>
        </w:rPr>
        <w:t>Figure 43. External validation — predicted vs experimental pMIC.</w:t>
      </w:r>
    </w:p>
    <w:p>
      <w:pPr>
        <w:pStyle w:val="Heading2"/>
      </w:pPr>
      <w:r>
        <w:t>3.7 Library screens (cutoff 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r>
              <w:rPr>
                <w:b/>
                <w:color w:val="FFFFFF"/>
                <w:sz w:val="18"/>
              </w:rPr>
              <w:t>Library</w:t>
            </w:r>
          </w:p>
        </w:tc>
        <w:tc>
          <w:tcPr>
            <w:tcW w:type="dxa" w:w="2436"/>
            <w:shd w:fill="1F4E79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  <w:tc>
          <w:tcPr>
            <w:tcW w:type="dxa" w:w="2436"/>
            <w:shd w:fill="1F4E79" w:val="clear"/>
          </w:tcPr>
          <w:p>
            <w:r>
              <w:rPr>
                <w:b/>
                <w:color w:val="FFFFFF"/>
                <w:sz w:val="18"/>
              </w:rPr>
              <w:t>Predicted</w:t>
            </w:r>
          </w:p>
        </w:tc>
        <w:tc>
          <w:tcPr>
            <w:tcW w:type="dxa" w:w="2436"/>
            <w:shd w:fill="1F4E79" w:val="clear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436"/>
          </w:tcPr>
          <w:p>
            <w:r>
              <w:rPr>
                <w:sz w:val="18"/>
              </w:rPr>
              <w:t>Approved drugs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approved_pmic.xlsx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14,605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875 skipped</w:t>
            </w:r>
          </w:p>
        </w:tc>
      </w:tr>
      <w:tr>
        <w:tc>
          <w:tcPr>
            <w:tcW w:type="dxa" w:w="2436"/>
            <w:shd w:fill="F2F2F2" w:val="clear"/>
          </w:tcPr>
          <w:p>
            <w:r>
              <w:rPr>
                <w:sz w:val="18"/>
              </w:rPr>
              <w:t>4FDN natural products</w:t>
            </w:r>
          </w:p>
        </w:tc>
        <w:tc>
          <w:tcPr>
            <w:tcW w:type="dxa" w:w="2436"/>
            <w:shd w:fill="F2F2F2" w:val="clear"/>
          </w:tcPr>
          <w:p>
            <w:r>
              <w:rPr>
                <w:sz w:val="18"/>
              </w:rPr>
              <w:t>4FDN-Natural-products-dock_pmic.xlsx</w:t>
            </w:r>
          </w:p>
        </w:tc>
        <w:tc>
          <w:tcPr>
            <w:tcW w:type="dxa" w:w="2436"/>
            <w:shd w:fill="F2F2F2" w:val="clear"/>
          </w:tcPr>
          <w:p>
            <w:r>
              <w:rPr>
                <w:sz w:val="18"/>
              </w:rPr>
              <w:t>1,923</w:t>
            </w:r>
          </w:p>
        </w:tc>
        <w:tc>
          <w:tcPr>
            <w:tcW w:type="dxa" w:w="2436"/>
            <w:shd w:fill="F2F2F2" w:val="clear"/>
          </w:tcPr>
          <w:p>
            <w:r>
              <w:rPr>
                <w:sz w:val="18"/>
              </w:rPr>
              <w:t>5 skipped</w:t>
            </w:r>
          </w:p>
        </w:tc>
      </w:tr>
      <w:tr>
        <w:tc>
          <w:tcPr>
            <w:tcW w:type="dxa" w:w="2436"/>
          </w:tcPr>
          <w:p>
            <w:r>
              <w:rPr>
                <w:sz w:val="18"/>
              </w:rPr>
              <w:t>CyanoMetDB V03 2024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CyanoMetDB_V03_2024_pmic.xlsx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3,059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  <w:t>184 skipped</w:t>
            </w:r>
          </w:p>
        </w:tc>
      </w:tr>
      <w:tr>
        <w:tc>
          <w:tcPr>
            <w:tcW w:type="dxa" w:w="2436"/>
            <w:shd w:fill="F2F2F2" w:val="clear"/>
          </w:tcPr>
          <w:p>
            <w:r>
              <w:rPr>
                <w:sz w:val="18"/>
              </w:rPr>
              <w:t>COCONUT 07-2026</w:t>
            </w:r>
          </w:p>
        </w:tc>
        <w:tc>
          <w:tcPr>
            <w:tcW w:type="dxa" w:w="2436"/>
            <w:shd w:fill="F2F2F2" w:val="clear"/>
          </w:tcPr>
          <w:p>
            <w:r>
              <w:rPr>
                <w:sz w:val="18"/>
              </w:rPr>
              <w:t>coconut_csv-07-2026_pmic.csv</w:t>
            </w:r>
          </w:p>
        </w:tc>
        <w:tc>
          <w:tcPr>
            <w:tcW w:type="dxa" w:w="2436"/>
            <w:shd w:fill="F2F2F2" w:val="clear"/>
          </w:tcPr>
          <w:p>
            <w:r>
              <w:rPr>
                <w:sz w:val="18"/>
              </w:rPr>
              <w:t>738,820</w:t>
            </w:r>
          </w:p>
        </w:tc>
        <w:tc>
          <w:tcPr>
            <w:tcW w:type="dxa" w:w="2436"/>
            <w:shd w:fill="F2F2F2" w:val="clear"/>
          </w:tcPr>
          <w:p>
            <w:r>
              <w:rPr>
                <w:sz w:val="18"/>
              </w:rPr>
              <w:t>7 skipped; CSV for scale</w:t>
            </w:r>
          </w:p>
        </w:tc>
      </w:tr>
    </w:tbl>
    <w:p/>
    <w:p>
      <w:pPr>
        <w:spacing w:after="160"/>
      </w:pPr>
      <w:r>
        <w:rPr>
          <w:rFonts w:ascii="Calibri" w:hAnsi="Calibri"/>
          <w:b w:val="0"/>
          <w:i/>
          <w:sz w:val="20"/>
        </w:rPr>
        <w:t>Table 10. Virtual screening outputs (all original columns retained).</w:t>
      </w:r>
    </w:p>
    <w:p>
      <w:pPr>
        <w:pStyle w:val="Heading1"/>
      </w:pPr>
      <w:r>
        <w:t>4. Discussion and limitations</w:t>
      </w:r>
    </w:p>
    <w:p>
      <w:pPr>
        <w:pStyle w:val="ListBullet"/>
      </w:pPr>
      <w:r>
        <w:rPr>
          <w:rFonts w:ascii="Calibri" w:hAnsi="Calibri"/>
          <w:sz w:val="22"/>
        </w:rPr>
        <w:t>Butina/Tanimoto splitting is substantially harder than random split and better reflects generalization to unseen chemotypes.</w:t>
      </w:r>
    </w:p>
    <w:p>
      <w:pPr>
        <w:pStyle w:val="ListBullet"/>
      </w:pPr>
      <w:r>
        <w:rPr>
          <w:rFonts w:ascii="Calibri" w:hAnsi="Calibri"/>
          <w:sz w:val="22"/>
        </w:rPr>
        <w:t>Cutoff 6.0 is preferred over 7.0 for classification claims because of class balance and external-label availability.</w:t>
      </w:r>
    </w:p>
    <w:p>
      <w:pPr>
        <w:pStyle w:val="ListBullet"/>
      </w:pPr>
      <w:r>
        <w:rPr>
          <w:rFonts w:ascii="Calibri" w:hAnsi="Calibri"/>
          <w:sz w:val="22"/>
        </w:rPr>
        <w:t>Global regression is useful for overall ranking but miscalibrates among strong actives; cascade active-only regression corrects potency on true actives (Oracle) and should be applied after classification in screening workflows.</w:t>
      </w:r>
    </w:p>
    <w:p>
      <w:pPr>
        <w:pStyle w:val="ListBullet"/>
      </w:pPr>
      <w:r>
        <w:rPr>
          <w:rFonts w:ascii="Calibri" w:hAnsi="Calibri"/>
          <w:sz w:val="22"/>
        </w:rPr>
        <w:t>Pipeline cascade metrics are sensitive to false positives—report Oracle and Pipeline separately.</w:t>
      </w:r>
    </w:p>
    <w:p>
      <w:pPr>
        <w:pStyle w:val="ListBullet"/>
      </w:pPr>
      <w:r>
        <w:rPr>
          <w:rFonts w:ascii="Calibri" w:hAnsi="Calibri"/>
          <w:sz w:val="22"/>
        </w:rPr>
        <w:t>SHAP fingerprint highlights are correlative attributions, not causal proofs.</w:t>
      </w:r>
    </w:p>
    <w:p>
      <w:pPr>
        <w:pStyle w:val="ListBullet"/>
      </w:pPr>
      <w:r>
        <w:rPr>
          <w:rFonts w:ascii="Calibri" w:hAnsi="Calibri"/>
          <w:sz w:val="22"/>
        </w:rPr>
        <w:t>Stacking classification AUC is strong; hard-threshold F1 can look weak—use probability ranking for prioritization.</w:t>
      </w:r>
    </w:p>
    <w:p>
      <w:pPr>
        <w:pStyle w:val="Heading1"/>
      </w:pPr>
      <w:r>
        <w:t>5. Key deliverables</w:t>
      </w:r>
    </w:p>
    <w:p>
      <w:pPr>
        <w:pStyle w:val="ListBullet"/>
      </w:pPr>
      <w:r>
        <w:rPr>
          <w:rFonts w:ascii="Calibri" w:hAnsi="Calibri"/>
          <w:sz w:val="22"/>
        </w:rPr>
        <w:t>best_reg_model.joblib / best_cls_model.joblib (T = 6)</w:t>
      </w:r>
    </w:p>
    <w:p>
      <w:pPr>
        <w:pStyle w:val="ListBullet"/>
      </w:pPr>
      <w:r>
        <w:rPr>
          <w:rFonts w:ascii="Calibri" w:hAnsi="Calibri"/>
          <w:sz w:val="22"/>
        </w:rPr>
        <w:t>best_reg_active_only_model.joblib / cascade_cls_reg_model.joblib</w:t>
      </w:r>
    </w:p>
    <w:p>
      <w:pPr>
        <w:pStyle w:val="ListBullet"/>
      </w:pPr>
      <w:r>
        <w:rPr>
          <w:rFonts w:ascii="Calibri" w:hAnsi="Calibri"/>
          <w:sz w:val="22"/>
        </w:rPr>
        <w:t>preprocessed_data.xlsx (Split, roles, actual vs predicted labels, top-5 flags)</w:t>
      </w:r>
    </w:p>
    <w:p>
      <w:pPr>
        <w:pStyle w:val="ListBullet"/>
      </w:pPr>
      <w:r>
        <w:rPr>
          <w:rFonts w:ascii="Calibri" w:hAnsi="Calibri"/>
          <w:sz w:val="22"/>
        </w:rPr>
        <w:t>test_top5_cls_active_probability.xlsx</w:t>
      </w:r>
    </w:p>
    <w:p>
      <w:pPr>
        <w:pStyle w:val="ListBullet"/>
      </w:pPr>
      <w:r>
        <w:rPr>
          <w:rFonts w:ascii="Calibri" w:hAnsi="Calibri"/>
          <w:sz w:val="22"/>
        </w:rPr>
        <w:t>cascade_cls_reg_metrics.csv / cascade_test_predictions.xlsx / cascade_external_*</w:t>
      </w:r>
    </w:p>
    <w:p>
      <w:pPr>
        <w:pStyle w:val="ListBullet"/>
      </w:pPr>
      <w:r>
        <w:rPr>
          <w:rFonts w:ascii="Calibri" w:hAnsi="Calibri"/>
          <w:sz w:val="22"/>
        </w:rPr>
        <w:t>plots/ (regression, classification, cascade, external) and plots/fp_highlights_cls/</w:t>
      </w:r>
    </w:p>
    <w:p>
      <w:pPr>
        <w:pStyle w:val="ListBullet"/>
      </w:pPr>
      <w:r>
        <w:rPr>
          <w:rFonts w:ascii="Calibri" w:hAnsi="Calibri"/>
          <w:sz w:val="22"/>
        </w:rPr>
        <w:t>approved_pmic.xlsx, 4FDN-Natural-products-dock_pmic.xlsx, CyanoMetDB_V03_2024_pmic.xlsx, coconut_csv-07-2026_pmic.csv</w:t>
      </w:r>
    </w:p>
    <w:p>
      <w:pPr>
        <w:pStyle w:val="Heading1"/>
      </w:pPr>
      <w:r>
        <w:t>6. Conclusions</w:t>
      </w:r>
    </w:p>
    <w:p>
      <w:pPr>
        <w:spacing w:after="160"/>
      </w:pPr>
      <w:r>
        <w:rPr>
          <w:rFonts w:ascii="Calibri" w:hAnsi="Calibri"/>
          <w:b w:val="0"/>
          <w:i w:val="0"/>
          <w:sz w:val="22"/>
        </w:rPr>
        <w:t>A scaffold-aware multi-fingerprint pipeline was established for antimycobacterial pMIC modeling. Under Butina splits, ensemble regression reached Test R² ≈ 0.32 and classification at pMIC ≥ 6 achieved Test ROC-AUC ≈ 0.83 with successful external validation (AUC ≈ 0.76). Cascade active-only regression substantially improved potency RMSE among true actives relative to the global regressor and is recommended as a second stage after activity filtering. Classification-derived fingerprint highlights and large-library screens (including COCONUT) provide actionable hypotheses for drug-repurposing prioritization.</w:t>
      </w:r>
    </w:p>
    <w:p>
      <w:pPr>
        <w:jc w:val="center"/>
      </w:pPr>
      <w:r>
        <w:rPr>
          <w:i/>
          <w:color w:val="646464"/>
          <w:sz w:val="18"/>
        </w:rPr>
        <w:br/>
        <w:t>— End of report —</w:t>
        <w:br/>
        <w:t>Generated from pipeline v3, retrain (T=6), cascade, postprocess, and screening outputs.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