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pMIC Prediction Pipeline v3</w:t>
      </w:r>
    </w:p>
    <w:p>
      <w:pPr>
        <w:jc w:val="center"/>
      </w:pPr>
      <w:r>
        <w:rPr>
          <w:i/>
          <w:sz w:val="22"/>
        </w:rPr>
        <w:t>Methods and Results Report</w:t>
        <w:br/>
        <w:t>Canonical SMILES · Duplicate collapse · Butina/Tanimoto split ·</w:t>
        <w:br/>
        <w:t>Classification (pMIC ≥ 6) · Regression · Applicability Domain · External Validation</w:t>
      </w:r>
    </w:p>
    <w:p>
      <w:pPr>
        <w:jc w:val="center"/>
      </w:pPr>
      <w:r>
        <w:rPr>
          <w:sz w:val="20"/>
        </w:rPr>
        <w:t>Modeling set after canonicalization: n = 19,183 unique molecules  |  Activity cutoff: pMIC ≥ 6.0  |  Seed = 42</w:t>
      </w:r>
    </w:p>
    <w:p>
      <w:pPr>
        <w:pStyle w:val="Heading1"/>
      </w:pPr>
      <w:r>
        <w:t>1. Overview</w:t>
      </w:r>
    </w:p>
    <w:p>
      <w:pPr>
        <w:spacing w:after="160"/>
      </w:pPr>
      <w:r>
        <w:rPr>
          <w:rFonts w:ascii="Calibri" w:hAnsi="Calibri"/>
          <w:b w:val="0"/>
          <w:i w:val="0"/>
          <w:sz w:val="22"/>
        </w:rPr>
        <w:t>This report documents a scaffold-aware quantitative structure–activity relationship (QSAR) pipeline for antimycobacterial potency (pMIC). SMILES strings were converted to RDKit canonical form and duplicate molecules were collapsed before fingerprint construction, so that one chemical entity could not enter the model under two different SMILES writings. The workflow then combined multi-fingerprint molecular representation, Butina clustering with Tanimoto similarity for train/test partitioning and GroupKFold cross-validation, multi-model ensembles, SHAP-based fingerprint highlighting, classification cutoff selection between pMIC 5.5 and 6.0, Williams applicability-domain (AD) analysis with percent coverage of external and screening libraries, labeled external validation, and virtual screening of approved drugs, 4FDN natural products, CyanoMetDB, and COCONUT.</w:t>
      </w:r>
    </w:p>
    <w:p>
      <w:pPr>
        <w:pStyle w:val="Heading2"/>
      </w:pPr>
      <w:r>
        <w:t>1.1 Objectives</w:t>
      </w:r>
    </w:p>
    <w:p>
      <w:pPr>
        <w:pStyle w:val="ListBullet"/>
      </w:pPr>
      <w:r>
        <w:rPr>
          <w:rFonts w:ascii="Calibri" w:hAnsi="Calibri"/>
          <w:sz w:val="22"/>
        </w:rPr>
        <w:t>Standardize SMILES and remove intra-set molecular duplicates before featurization.</w:t>
      </w:r>
    </w:p>
    <w:p>
      <w:pPr>
        <w:pStyle w:val="ListBullet"/>
      </w:pPr>
      <w:r>
        <w:rPr>
          <w:rFonts w:ascii="Calibri" w:hAnsi="Calibri"/>
          <w:sz w:val="22"/>
        </w:rPr>
        <w:t>Predict continuous pMIC (regression) under chemically rigorous splits.</w:t>
      </w:r>
    </w:p>
    <w:p>
      <w:pPr>
        <w:pStyle w:val="ListBullet"/>
      </w:pPr>
      <w:r>
        <w:rPr>
          <w:rFonts w:ascii="Calibri" w:hAnsi="Calibri"/>
          <w:sz w:val="22"/>
        </w:rPr>
        <w:t>Classify Active vs Inactive at an evidence-based cutoff (pMIC ≥ 6.0).</w:t>
      </w:r>
    </w:p>
    <w:p>
      <w:pPr>
        <w:pStyle w:val="ListBullet"/>
      </w:pPr>
      <w:r>
        <w:rPr>
          <w:rFonts w:ascii="Calibri" w:hAnsi="Calibri"/>
          <w:sz w:val="22"/>
        </w:rPr>
        <w:t>Avoid chemical leakage via Butina/Tanimoto cluster assignment.</w:t>
      </w:r>
    </w:p>
    <w:p>
      <w:pPr>
        <w:pStyle w:val="ListBullet"/>
      </w:pPr>
      <w:r>
        <w:rPr>
          <w:rFonts w:ascii="Calibri" w:hAnsi="Calibri"/>
          <w:sz w:val="22"/>
        </w:rPr>
        <w:t>Quantify whether test, external, and screening libraries fall inside the AD, as percentages.</w:t>
      </w:r>
    </w:p>
    <w:p>
      <w:pPr>
        <w:pStyle w:val="ListBullet"/>
      </w:pPr>
      <w:r>
        <w:rPr>
          <w:rFonts w:ascii="Calibri" w:hAnsi="Calibri"/>
          <w:sz w:val="22"/>
        </w:rPr>
        <w:t>Interpret influential Morgan/MACCS bits and map them onto molecules.</w:t>
      </w:r>
    </w:p>
    <w:p>
      <w:pPr>
        <w:pStyle w:val="ListBullet"/>
      </w:pPr>
      <w:r>
        <w:rPr>
          <w:rFonts w:ascii="Calibri" w:hAnsi="Calibri"/>
          <w:sz w:val="22"/>
        </w:rPr>
        <w:t>Validate externally and screen approved drugs, 4FDN NPs, CyanoMetDB, and COCONUT.</w:t>
      </w:r>
    </w:p>
    <w:p>
      <w:pPr>
        <w:pStyle w:val="Heading1"/>
      </w:pPr>
      <w:r>
        <w:t>2. Methods</w:t>
      </w:r>
    </w:p>
    <w:p>
      <w:pPr>
        <w:pStyle w:val="Heading2"/>
      </w:pPr>
      <w:r>
        <w:t>2.1 Datasets and endpoint</w:t>
      </w:r>
    </w:p>
    <w:p>
      <w:pPr>
        <w:spacing w:after="160"/>
      </w:pPr>
      <w:r>
        <w:rPr>
          <w:rFonts w:ascii="Calibri" w:hAnsi="Calibri"/>
          <w:b w:val="0"/>
          <w:i w:val="0"/>
          <w:sz w:val="22"/>
        </w:rPr>
        <w:t>Modeling data (Smiles.xlsx) originally comprised 35,948 rows with experimental pMIC. pMIC is −log₁₀(MIC [M]). An independent labeled set (Cleaned_External_Validation.xlsx, 122 rows) was used only for final evaluation. Unlabeled libraries: approved DrugBank compounds, 4FDN natural-product docking set, CyanoMetDB V03 2024, and COCONUT (July 2026 dump).</w:t>
      </w:r>
    </w:p>
    <w:p>
      <w:pPr>
        <w:pStyle w:val="Heading2"/>
      </w:pPr>
      <w:r>
        <w:t>2.2 Canonical SMILES and duplicate removal</w:t>
      </w:r>
    </w:p>
    <w:p>
      <w:pPr>
        <w:spacing w:after="160"/>
      </w:pPr>
      <w:r>
        <w:rPr>
          <w:rFonts w:ascii="Calibri" w:hAnsi="Calibri"/>
          <w:b w:val="0"/>
          <w:i w:val="0"/>
          <w:sz w:val="22"/>
        </w:rPr>
        <w:t>Before any fingerprint or descriptor was computed, each SMILES string was parsed with RDKit and rewritten as Chem.MolToSmiles(..., canonical=True). Invalid structures and molecules with zero heavy atoms were dropped. Rows sharing the same canonical SMILES were collapsed to one molecule: pMIC was averaged and remaining columns kept the first occurrence. This prevents the same compound, written with two different SMILES strings, from entering the model as two independent training points. Salt stripping and charge neutralization were not applied. The same canonicalize-and-mean protocol was used on the labeled external set.</w:t>
      </w:r>
    </w:p>
    <w:p>
      <w:pPr>
        <w:spacing w:after="160"/>
      </w:pPr>
      <w:r>
        <w:rPr>
          <w:rFonts w:ascii="Calibri" w:hAnsi="Calibri"/>
          <w:b w:val="0"/>
          <w:i w:val="0"/>
          <w:sz w:val="22"/>
        </w:rPr>
        <w:t>After canonicalization the modeling table contained 19,183 unique molecules (16,765 duplicate rows removed; 4,204 groups had conflicting experimental pMIC and were averaged). pMIC ranged from 2.17 to 9.00. The external set collapsed from 122 to 92 unique molecules (30 duplicates; 3 conflicting-pMIC groups).</w:t>
      </w:r>
    </w:p>
    <w:p>
      <w:pPr>
        <w:pStyle w:val="Heading2"/>
      </w:pPr>
      <w:r>
        <w:t>2.3 Molecular representation</w:t>
      </w:r>
    </w:p>
    <w:p>
      <w:pPr>
        <w:pStyle w:val="ListBullet"/>
      </w:pPr>
      <w:r>
        <w:rPr>
          <w:rFonts w:ascii="Calibri" w:hAnsi="Calibri"/>
          <w:sz w:val="22"/>
        </w:rPr>
        <w:t>Morgan fingerprints (radius 2, 2048 bits)</w:t>
      </w:r>
    </w:p>
    <w:p>
      <w:pPr>
        <w:pStyle w:val="ListBullet"/>
      </w:pPr>
      <w:r>
        <w:rPr>
          <w:rFonts w:ascii="Calibri" w:hAnsi="Calibri"/>
          <w:sz w:val="22"/>
        </w:rPr>
        <w:t>MACCS keys (167 bits)</w:t>
      </w:r>
    </w:p>
    <w:p>
      <w:pPr>
        <w:pStyle w:val="ListBullet"/>
      </w:pPr>
      <w:r>
        <w:rPr>
          <w:rFonts w:ascii="Calibri" w:hAnsi="Calibri"/>
          <w:sz w:val="22"/>
        </w:rPr>
        <w:t>Atom-pair fingerprints (2048 bits)</w:t>
      </w:r>
    </w:p>
    <w:p>
      <w:pPr>
        <w:pStyle w:val="ListBullet"/>
      </w:pPr>
      <w:r>
        <w:rPr>
          <w:rFonts w:ascii="Calibri" w:hAnsi="Calibri"/>
          <w:sz w:val="22"/>
        </w:rPr>
        <w:t>RDKit path fingerprints (2048 bits)</w:t>
      </w:r>
    </w:p>
    <w:p>
      <w:pPr>
        <w:pStyle w:val="ListBullet"/>
      </w:pPr>
      <w:r>
        <w:rPr>
          <w:rFonts w:ascii="Calibri" w:hAnsi="Calibri"/>
          <w:sz w:val="22"/>
        </w:rPr>
        <w:t>216 RDKit descriptors (Ipc excluded) → 6,527 features in total</w:t>
      </w:r>
    </w:p>
    <w:p>
      <w:pPr>
        <w:spacing w:after="160"/>
      </w:pPr>
      <w:r>
        <w:rPr>
          <w:rFonts w:ascii="Calibri" w:hAnsi="Calibri"/>
          <w:b w:val="0"/>
          <w:i w:val="0"/>
          <w:sz w:val="22"/>
        </w:rPr>
        <w:t>Invalid SMILES remaining after canonicalization and zero-heavy-atom structures were dropped during featurization (none remained in the modeling set). Descriptors were sanitized (NaN/Inf → 0; clipped).</w:t>
      </w:r>
    </w:p>
    <w:p>
      <w:pPr>
        <w:pStyle w:val="Heading2"/>
      </w:pPr>
      <w:r>
        <w:t>2.4 Feature selection</w:t>
      </w:r>
    </w:p>
    <w:p>
      <w:pPr>
        <w:pStyle w:val="ListBullet"/>
      </w:pPr>
      <w:r>
        <w:rPr>
          <w:rFonts w:ascii="Calibri" w:hAnsi="Calibri"/>
          <w:sz w:val="22"/>
        </w:rPr>
        <w:t>VarianceThreshold (0.01)</w:t>
      </w:r>
    </w:p>
    <w:p>
      <w:pPr>
        <w:pStyle w:val="ListBullet"/>
      </w:pPr>
      <w:r>
        <w:rPr>
          <w:rFonts w:ascii="Calibri" w:hAnsi="Calibri"/>
          <w:sz w:val="22"/>
        </w:rPr>
        <w:t>Pearson correlation filter (|r| &gt; 0.95)</w:t>
      </w:r>
    </w:p>
    <w:p>
      <w:pPr>
        <w:pStyle w:val="ListBullet"/>
      </w:pPr>
      <w:r>
        <w:rPr>
          <w:rFonts w:ascii="Calibri" w:hAnsi="Calibri"/>
          <w:sz w:val="22"/>
        </w:rPr>
        <w:t>Mutual-information SelectKBest: top 1000 (regression) / top 300 (classification)</w:t>
      </w:r>
    </w:p>
    <w:p>
      <w:pPr>
        <w:pStyle w:val="ListBullet"/>
      </w:pPr>
      <w:r>
        <w:rPr>
          <w:rFonts w:ascii="Calibri" w:hAnsi="Calibri"/>
          <w:sz w:val="22"/>
        </w:rPr>
        <w:t>Selectors fit on training data only and stored in a picklable FeatureTransformer</w:t>
      </w:r>
    </w:p>
    <w:p>
      <w:pPr>
        <w:pStyle w:val="Heading2"/>
      </w:pPr>
      <w:r>
        <w:t>2.5 Butina cluster split (scaffold-aware)</w:t>
      </w:r>
    </w:p>
    <w:p>
      <w:pPr>
        <w:spacing w:after="160"/>
      </w:pPr>
      <w:r>
        <w:rPr>
          <w:rFonts w:ascii="Calibri" w:hAnsi="Calibri"/>
          <w:b w:val="0"/>
          <w:i w:val="0"/>
          <w:sz w:val="22"/>
        </w:rPr>
        <w:t>Molecules were clustered with the Butina algorithm on Morgan fingerprints (radius 2, 1024 bits) using Tanimoto distance cutoff 0.4 (similarity ≥ 0.6). Entire clusters were assigned to train or test (~80/20) with size-balanced allocation. Within-train CV used GroupKFold by cluster ID (5 folds), preventing cluster leakage.</w:t>
      </w:r>
    </w:p>
    <w:p>
      <w:pPr>
        <w:spacing w:after="160"/>
      </w:pPr>
      <w:r>
        <w:rPr>
          <w:rFonts w:ascii="Calibri" w:hAnsi="Calibri"/>
          <w:b w:val="0"/>
          <w:i w:val="0"/>
          <w:sz w:val="22"/>
        </w:rPr>
        <w:t>Partition after unique-molecule modeling: 4,470 clusters (2,164 singletons); Train n = 15,346 (2,585 clusters); Test n = 3,837 (1,885 clusters). Each molecule was labeled in preprocessed_data.xlsx with Split, CV_fold / Dataset_role, and Butina_cluster.</w:t>
      </w:r>
    </w:p>
    <w:p>
      <w:pPr>
        <w:pStyle w:val="Heading2"/>
      </w:pPr>
      <w:r>
        <w:t>2.6 Models</w:t>
      </w:r>
    </w:p>
    <w:p>
      <w:pPr>
        <w:spacing w:after="160"/>
      </w:pPr>
      <w:r>
        <w:rPr>
          <w:rFonts w:ascii="Calibri" w:hAnsi="Calibri"/>
          <w:b/>
          <w:i w:val="0"/>
          <w:sz w:val="22"/>
        </w:rPr>
        <w:t>Regression candidates:</w:t>
      </w:r>
    </w:p>
    <w:p>
      <w:pPr>
        <w:pStyle w:val="ListBullet"/>
      </w:pPr>
      <w:r>
        <w:rPr>
          <w:rFonts w:ascii="Calibri" w:hAnsi="Calibri"/>
          <w:sz w:val="22"/>
        </w:rPr>
        <w:t>RandomForest, ExtraTrees, HistGradientBoosting, Ridge, LinearSVR</w:t>
      </w:r>
    </w:p>
    <w:p>
      <w:pPr>
        <w:pStyle w:val="ListBullet"/>
      </w:pPr>
      <w:r>
        <w:rPr>
          <w:rFonts w:ascii="Calibri" w:hAnsi="Calibri"/>
          <w:sz w:val="22"/>
        </w:rPr>
        <w:t>XGBoost, LightGBM</w:t>
      </w:r>
    </w:p>
    <w:p>
      <w:pPr>
        <w:pStyle w:val="ListBullet"/>
      </w:pPr>
      <w:r>
        <w:rPr>
          <w:rFonts w:ascii="Calibri" w:hAnsi="Calibri"/>
          <w:sz w:val="22"/>
        </w:rPr>
        <w:t>StackingRegressor of top-3 trees → Ridge</w:t>
      </w:r>
    </w:p>
    <w:p>
      <w:pPr>
        <w:spacing w:after="160"/>
      </w:pPr>
      <w:r>
        <w:rPr>
          <w:rFonts w:ascii="Calibri" w:hAnsi="Calibri"/>
          <w:b/>
          <w:i w:val="0"/>
          <w:sz w:val="22"/>
        </w:rPr>
        <w:t>Classification candidates:</w:t>
      </w:r>
    </w:p>
    <w:p>
      <w:pPr>
        <w:pStyle w:val="ListBullet"/>
      </w:pPr>
      <w:r>
        <w:rPr>
          <w:rFonts w:ascii="Calibri" w:hAnsi="Calibri"/>
          <w:sz w:val="22"/>
        </w:rPr>
        <w:t>Calibrated LinearSVC, LogisticRegression (balanced)</w:t>
      </w:r>
    </w:p>
    <w:p>
      <w:pPr>
        <w:pStyle w:val="ListBullet"/>
      </w:pPr>
      <w:r>
        <w:rPr>
          <w:rFonts w:ascii="Calibri" w:hAnsi="Calibri"/>
          <w:sz w:val="22"/>
        </w:rPr>
        <w:t>RandomForest, ExtraTrees, HistGradientBoosting (balanced)</w:t>
      </w:r>
    </w:p>
    <w:p>
      <w:pPr>
        <w:pStyle w:val="ListBullet"/>
      </w:pPr>
      <w:r>
        <w:rPr>
          <w:rFonts w:ascii="Calibri" w:hAnsi="Calibri"/>
          <w:sz w:val="22"/>
        </w:rPr>
        <w:t>XGBoost, LightGBM; StackingClassifier → LogisticRegression</w:t>
      </w:r>
    </w:p>
    <w:p>
      <w:pPr>
        <w:pStyle w:val="ListBullet"/>
      </w:pPr>
      <w:r>
        <w:rPr>
          <w:rFonts w:ascii="Calibri" w:hAnsi="Calibri"/>
          <w:sz w:val="22"/>
        </w:rPr>
        <w:t>Decision threshold optimized on train probabilities (balanced accuracy)</w:t>
      </w:r>
    </w:p>
    <w:p>
      <w:pPr>
        <w:pStyle w:val="ListBullet"/>
      </w:pPr>
      <w:r>
        <w:rPr>
          <w:rFonts w:ascii="Calibri" w:hAnsi="Calibri"/>
          <w:sz w:val="22"/>
        </w:rPr>
        <w:t>Gray-zone exclusion: |pMIC − cutoff| &lt; 0.5 removed from classification training</w:t>
      </w:r>
    </w:p>
    <w:p>
      <w:pPr>
        <w:pStyle w:val="Heading2"/>
      </w:pPr>
      <w:r>
        <w:t>2.7 Classification cutoff selection</w:t>
      </w:r>
    </w:p>
    <w:p>
      <w:pPr>
        <w:spacing w:after="160"/>
      </w:pPr>
      <w:r>
        <w:rPr>
          <w:rFonts w:ascii="Calibri" w:hAnsi="Calibri"/>
          <w:b w:val="0"/>
          <w:i w:val="0"/>
          <w:sz w:val="22"/>
        </w:rPr>
        <w:t>Binary Active labels were compared at pMIC ≥ 5.5 and ≥ 6.0 (cutoff 7 was discarded a priori because of extreme imbalance). Selection used GroupKFold random-forest probes and preferred 6.0 when it was best among near-AUC candidates.</w:t>
      </w:r>
    </w:p>
    <w:p>
      <w:pPr>
        <w:pStyle w:val="Heading2"/>
      </w:pPr>
      <w:r>
        <w:t>2.8 Cascade: classify then active-only regress</w:t>
      </w:r>
    </w:p>
    <w:p>
      <w:pPr>
        <w:spacing w:after="160"/>
      </w:pPr>
      <w:r>
        <w:rPr>
          <w:rFonts w:ascii="Calibri" w:hAnsi="Calibri"/>
          <w:b w:val="0"/>
          <w:i w:val="0"/>
          <w:sz w:val="22"/>
        </w:rPr>
        <w:t>The global regressor ranks the full potency range but can miscalibrate among strong actives. A cascade was therefore fit on the unique-molecule Butina split with no test leakage:</w:t>
      </w:r>
    </w:p>
    <w:p>
      <w:pPr>
        <w:pStyle w:val="ListBullet"/>
      </w:pPr>
      <w:r>
        <w:rPr>
          <w:rFonts w:ascii="Calibri" w:hAnsi="Calibri"/>
          <w:sz w:val="22"/>
        </w:rPr>
        <w:t>Stage A: reuse the train-only classifier (pMIC ≥ 6); decision threshold from balanced accuracy on train probabilities.</w:t>
      </w:r>
    </w:p>
    <w:p>
      <w:pPr>
        <w:pStyle w:val="ListBullet"/>
      </w:pPr>
      <w:r>
        <w:rPr>
          <w:rFonts w:ascii="Calibri" w:hAnsi="Calibri"/>
          <w:sz w:val="22"/>
        </w:rPr>
        <w:t>Stage B: fit a new regressor only on train ∩ true actives (n = 2,258); feature selection refit on that subset; GroupKFold by Butina cluster among actives.</w:t>
      </w:r>
    </w:p>
    <w:p>
      <w:pPr>
        <w:pStyle w:val="ListBullet"/>
      </w:pPr>
      <w:r>
        <w:rPr>
          <w:rFonts w:ascii="Calibri" w:hAnsi="Calibri"/>
          <w:sz w:val="22"/>
        </w:rPr>
        <w:t>Test metrics reported separately as: (i) Oracle — active-regressor on true test actives; (ii) Pipeline — active-regressor on classifier-predicted actives; (iii) Baseline — global regressor for reference; (iv) true-positive subset.</w:t>
      </w:r>
    </w:p>
    <w:p>
      <w:pPr>
        <w:pStyle w:val="Heading2"/>
      </w:pPr>
      <w:r>
        <w:t>2.9 Applicability domain</w:t>
      </w:r>
    </w:p>
    <w:p>
      <w:pPr>
        <w:spacing w:after="160"/>
      </w:pPr>
      <w:r>
        <w:rPr>
          <w:rFonts w:ascii="Calibri" w:hAnsi="Calibri"/>
          <w:b w:val="0"/>
          <w:i w:val="0"/>
          <w:sz w:val="22"/>
        </w:rPr>
        <w:t>Williams plots were computed in the selected feature space after StandardScaler and PCA (≤50 components) fitted on training data only. Leverage used the hat matrix in that PCA space with warning leverage h* = 3(p+1)/n_train. Standardized residuals used the training residual standard deviation. For labeled sets (Train, Test, External) a compound was in-AD if h ≤ h* and |standardized residual| ≤ 3. Unlabeled screening libraries have no experimental pMIC, so in-AD was leverage-only (h ≤ h*). Coverage was reported as a percentage of valid molecules. Williams scatter shows Train, Test, and External only; library coverage is summarized as bars (COCONUT is too large to scatter).</w:t>
      </w:r>
    </w:p>
    <w:p>
      <w:pPr>
        <w:pStyle w:val="Heading2"/>
      </w:pPr>
      <w:r>
        <w:t>2.10 Interpretability</w:t>
      </w:r>
    </w:p>
    <w:p>
      <w:pPr>
        <w:spacing w:after="160"/>
      </w:pPr>
      <w:r>
        <w:rPr>
          <w:rFonts w:ascii="Calibri" w:hAnsi="Calibri"/>
          <w:b w:val="0"/>
          <w:i w:val="0"/>
          <w:sz w:val="22"/>
        </w:rPr>
        <w:t>TreeSHAP attributions on the regression LightGBM surrogate ranked Morgan/MACCS bits. Top bits were mapped to atoms and highlighted on the five test compounds with highest predicted pMIC and on reference TB drugs (SMILES for mapping.xlsx).</w:t>
      </w:r>
    </w:p>
    <w:p>
      <w:pPr>
        <w:pStyle w:val="Heading2"/>
      </w:pPr>
      <w:r>
        <w:t>2.11 External validation and screening</w:t>
      </w:r>
    </w:p>
    <w:p>
      <w:pPr>
        <w:spacing w:after="160"/>
      </w:pPr>
      <w:r>
        <w:rPr>
          <w:rFonts w:ascii="Calibri" w:hAnsi="Calibri"/>
          <w:b w:val="0"/>
          <w:i w:val="0"/>
          <w:sz w:val="22"/>
        </w:rPr>
        <w:t>Saved models were applied to the canonicalized external set and to three screening libraries (approved, 4FDN, CyanoMetDB). Original columns were retained; predictions were written to new *_pmic files. COCONUT was scored for AD coverage (738,820 valid structures); a prior full pMIC screen of the same dump remains available as CSV.</w:t>
      </w:r>
    </w:p>
    <w:p>
      <w:pPr>
        <w:pStyle w:val="Heading2"/>
      </w:pPr>
      <w:r>
        <w:t>2.12 Software</w:t>
      </w:r>
    </w:p>
    <w:p>
      <w:pPr>
        <w:pStyle w:val="ListBullet"/>
      </w:pPr>
      <w:r>
        <w:rPr>
          <w:rFonts w:ascii="Calibri" w:hAnsi="Calibri"/>
          <w:sz w:val="22"/>
        </w:rPr>
        <w:t>Python 3.13; RDKit; scikit-learn; XGBoost; LightGBM; SHAP; NumPy; Pandas; Matplotlib</w:t>
      </w:r>
    </w:p>
    <w:p>
      <w:pPr>
        <w:pStyle w:val="ListBullet"/>
      </w:pPr>
      <w:r>
        <w:rPr>
          <w:rFonts w:ascii="Calibri" w:hAnsi="Calibri"/>
          <w:sz w:val="22"/>
        </w:rPr>
        <w:t>Key scripts: pmic_prediction.py, pmic_extras.py, cascade_cls_then_reg.py, plot_ad_coverage.py, predict_forxlsx.py</w:t>
      </w:r>
    </w:p>
    <w:p>
      <w:pPr>
        <w:pStyle w:val="Heading1"/>
      </w:pPr>
      <w:r>
        <w:t>3. Results</w:t>
      </w:r>
    </w:p>
    <w:p>
      <w:pPr>
        <w:pStyle w:val="Heading2"/>
      </w:pPr>
      <w:r>
        <w:t>3.1 Dataset after canonical SMILES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fill="1F4E79" w:val="clear"/>
          </w:tcPr>
          <w:p>
            <w:r>
              <w:rPr>
                <w:b/>
                <w:color w:val="FFFFFF"/>
                <w:sz w:val="18"/>
              </w:rPr>
              <w:t>Set</w:t>
            </w:r>
          </w:p>
        </w:tc>
        <w:tc>
          <w:tcPr>
            <w:tcW w:type="dxa" w:w="1624"/>
            <w:shd w:fill="1F4E79" w:val="clear"/>
          </w:tcPr>
          <w:p>
            <w:r>
              <w:rPr>
                <w:b/>
                <w:color w:val="FFFFFF"/>
                <w:sz w:val="18"/>
              </w:rPr>
              <w:t>Raw rows</w:t>
            </w:r>
          </w:p>
        </w:tc>
        <w:tc>
          <w:tcPr>
            <w:tcW w:type="dxa" w:w="1624"/>
            <w:shd w:fill="1F4E79" w:val="clear"/>
          </w:tcPr>
          <w:p>
            <w:r>
              <w:rPr>
                <w:b/>
                <w:color w:val="FFFFFF"/>
                <w:sz w:val="18"/>
              </w:rPr>
              <w:t>Invalid SMILES</w:t>
            </w:r>
          </w:p>
        </w:tc>
        <w:tc>
          <w:tcPr>
            <w:tcW w:type="dxa" w:w="1624"/>
            <w:shd w:fill="1F4E79" w:val="clear"/>
          </w:tcPr>
          <w:p>
            <w:r>
              <w:rPr>
                <w:b/>
                <w:color w:val="FFFFFF"/>
                <w:sz w:val="18"/>
              </w:rPr>
              <w:t>Unique molecules</w:t>
            </w:r>
          </w:p>
        </w:tc>
        <w:tc>
          <w:tcPr>
            <w:tcW w:type="dxa" w:w="1624"/>
            <w:shd w:fill="1F4E79" w:val="clear"/>
          </w:tcPr>
          <w:p>
            <w:r>
              <w:rPr>
                <w:b/>
                <w:color w:val="FFFFFF"/>
                <w:sz w:val="18"/>
              </w:rPr>
              <w:t>Duplicates removed</w:t>
            </w:r>
          </w:p>
        </w:tc>
        <w:tc>
          <w:tcPr>
            <w:tcW w:type="dxa" w:w="1624"/>
            <w:shd w:fill="1F4E79" w:val="clear"/>
          </w:tcPr>
          <w:p>
            <w:r>
              <w:rPr>
                <w:b/>
                <w:color w:val="FFFFFF"/>
                <w:sz w:val="18"/>
              </w:rPr>
              <w:t>Conflicting pMIC groups</w:t>
            </w:r>
          </w:p>
        </w:tc>
      </w:tr>
      <w:tr>
        <w:tc>
          <w:tcPr>
            <w:tcW w:type="dxa" w:w="1624"/>
          </w:tcPr>
          <w:p>
            <w:r>
              <w:rPr>
                <w:sz w:val="18"/>
              </w:rPr>
              <w:t>Modeling (Smiles.xlsx)</w:t>
            </w:r>
          </w:p>
        </w:tc>
        <w:tc>
          <w:tcPr>
            <w:tcW w:type="dxa" w:w="1624"/>
          </w:tcPr>
          <w:p>
            <w:r>
              <w:rPr>
                <w:sz w:val="18"/>
              </w:rPr>
              <w:t>35,948</w:t>
            </w:r>
          </w:p>
        </w:tc>
        <w:tc>
          <w:tcPr>
            <w:tcW w:type="dxa" w:w="1624"/>
          </w:tcPr>
          <w:p>
            <w:r>
              <w:rPr>
                <w:sz w:val="18"/>
              </w:rPr>
              <w:t>0</w:t>
            </w:r>
          </w:p>
        </w:tc>
        <w:tc>
          <w:tcPr>
            <w:tcW w:type="dxa" w:w="1624"/>
          </w:tcPr>
          <w:p>
            <w:r>
              <w:rPr>
                <w:sz w:val="18"/>
              </w:rPr>
              <w:t>19,183</w:t>
            </w:r>
          </w:p>
        </w:tc>
        <w:tc>
          <w:tcPr>
            <w:tcW w:type="dxa" w:w="1624"/>
          </w:tcPr>
          <w:p>
            <w:r>
              <w:rPr>
                <w:sz w:val="18"/>
              </w:rPr>
              <w:t>16,765</w:t>
            </w:r>
          </w:p>
        </w:tc>
        <w:tc>
          <w:tcPr>
            <w:tcW w:type="dxa" w:w="1624"/>
          </w:tcPr>
          <w:p>
            <w:r>
              <w:rPr>
                <w:sz w:val="18"/>
              </w:rPr>
              <w:t>4,204</w:t>
            </w:r>
          </w:p>
        </w:tc>
      </w:tr>
      <w:tr>
        <w:tc>
          <w:tcPr>
            <w:tcW w:type="dxa" w:w="1624"/>
            <w:shd w:fill="F2F2F2" w:val="clear"/>
          </w:tcPr>
          <w:p>
            <w:r>
              <w:rPr>
                <w:sz w:val="18"/>
              </w:rPr>
              <w:t>External validation</w:t>
            </w:r>
          </w:p>
        </w:tc>
        <w:tc>
          <w:tcPr>
            <w:tcW w:type="dxa" w:w="1624"/>
            <w:shd w:fill="F2F2F2" w:val="clear"/>
          </w:tcPr>
          <w:p>
            <w:r>
              <w:rPr>
                <w:sz w:val="18"/>
              </w:rPr>
              <w:t>122</w:t>
            </w:r>
          </w:p>
        </w:tc>
        <w:tc>
          <w:tcPr>
            <w:tcW w:type="dxa" w:w="1624"/>
            <w:shd w:fill="F2F2F2" w:val="clear"/>
          </w:tcPr>
          <w:p>
            <w:r>
              <w:rPr>
                <w:sz w:val="18"/>
              </w:rPr>
              <w:t>0</w:t>
            </w:r>
          </w:p>
        </w:tc>
        <w:tc>
          <w:tcPr>
            <w:tcW w:type="dxa" w:w="1624"/>
            <w:shd w:fill="F2F2F2" w:val="clear"/>
          </w:tcPr>
          <w:p>
            <w:r>
              <w:rPr>
                <w:sz w:val="18"/>
              </w:rPr>
              <w:t>92</w:t>
            </w:r>
          </w:p>
        </w:tc>
        <w:tc>
          <w:tcPr>
            <w:tcW w:type="dxa" w:w="1624"/>
            <w:shd w:fill="F2F2F2" w:val="clear"/>
          </w:tcPr>
          <w:p>
            <w:r>
              <w:rPr>
                <w:sz w:val="18"/>
              </w:rPr>
              <w:t>30</w:t>
            </w:r>
          </w:p>
        </w:tc>
        <w:tc>
          <w:tcPr>
            <w:tcW w:type="dxa" w:w="1624"/>
            <w:shd w:fill="F2F2F2" w:val="clear"/>
          </w:tcPr>
          <w:p>
            <w:r>
              <w:rPr>
                <w:sz w:val="18"/>
              </w:rPr>
              <w:t>3</w:t>
            </w:r>
          </w:p>
        </w:tc>
      </w:tr>
    </w:tbl>
    <w:p/>
    <w:p>
      <w:pPr>
        <w:spacing w:after="160"/>
      </w:pPr>
      <w:r>
        <w:rPr>
          <w:rFonts w:ascii="Calibri" w:hAnsi="Calibri"/>
          <w:b w:val="0"/>
          <w:i/>
          <w:sz w:val="20"/>
        </w:rPr>
        <w:t>Table 1. Canonical SMILES duplicate collapse (mean pMIC within each unique molecule).</w:t>
      </w:r>
    </w:p>
    <w:p>
      <w:pPr>
        <w:spacing w:after="160"/>
      </w:pPr>
      <w:r>
        <w:rPr>
          <w:rFonts w:ascii="Calibri" w:hAnsi="Calibri"/>
          <w:b w:val="0"/>
          <w:i w:val="0"/>
          <w:sz w:val="22"/>
        </w:rPr>
        <w:t>Without this step the same chemical could have been treated as two compounds. The unique-molecule modeling set (n = 19,183) is the basis of all subsequent results.</w:t>
      </w:r>
    </w:p>
    <w:p>
      <w:pPr>
        <w:pStyle w:val="Heading2"/>
      </w:pPr>
      <w:r>
        <w:t>3.2 Cutoff comparison (5.5 vs 6.0)</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fill="1F4E79" w:val="clear"/>
          </w:tcPr>
          <w:p>
            <w:r>
              <w:rPr>
                <w:b/>
                <w:color w:val="FFFFFF"/>
                <w:sz w:val="18"/>
              </w:rPr>
              <w:t>Cutoff</w:t>
            </w:r>
          </w:p>
        </w:tc>
        <w:tc>
          <w:tcPr>
            <w:tcW w:type="dxa" w:w="1392"/>
            <w:shd w:fill="1F4E79" w:val="clear"/>
          </w:tcPr>
          <w:p>
            <w:r>
              <w:rPr>
                <w:b/>
                <w:color w:val="FFFFFF"/>
                <w:sz w:val="18"/>
              </w:rPr>
              <w:t>Train active %</w:t>
            </w:r>
          </w:p>
        </w:tc>
        <w:tc>
          <w:tcPr>
            <w:tcW w:type="dxa" w:w="1392"/>
            <w:shd w:fill="1F4E79" w:val="clear"/>
          </w:tcPr>
          <w:p>
            <w:r>
              <w:rPr>
                <w:b/>
                <w:color w:val="FFFFFF"/>
                <w:sz w:val="18"/>
              </w:rPr>
              <w:t>CV ROC-AUC</w:t>
            </w:r>
          </w:p>
        </w:tc>
        <w:tc>
          <w:tcPr>
            <w:tcW w:type="dxa" w:w="1392"/>
            <w:shd w:fill="1F4E79" w:val="clear"/>
          </w:tcPr>
          <w:p>
            <w:r>
              <w:rPr>
                <w:b/>
                <w:color w:val="FFFFFF"/>
                <w:sz w:val="18"/>
              </w:rPr>
              <w:t>CV BalAcc</w:t>
            </w:r>
          </w:p>
        </w:tc>
        <w:tc>
          <w:tcPr>
            <w:tcW w:type="dxa" w:w="1392"/>
            <w:shd w:fill="1F4E79" w:val="clear"/>
          </w:tcPr>
          <w:p>
            <w:r>
              <w:rPr>
                <w:b/>
                <w:color w:val="FFFFFF"/>
                <w:sz w:val="18"/>
              </w:rPr>
              <w:t>CV F1</w:t>
            </w:r>
          </w:p>
        </w:tc>
        <w:tc>
          <w:tcPr>
            <w:tcW w:type="dxa" w:w="1392"/>
            <w:shd w:fill="1F4E79" w:val="clear"/>
          </w:tcPr>
          <w:p>
            <w:r>
              <w:rPr>
                <w:b/>
                <w:color w:val="FFFFFF"/>
                <w:sz w:val="18"/>
              </w:rPr>
              <w:t>CV MCC</w:t>
            </w:r>
          </w:p>
        </w:tc>
        <w:tc>
          <w:tcPr>
            <w:tcW w:type="dxa" w:w="1392"/>
            <w:shd w:fill="1F4E79" w:val="clear"/>
          </w:tcPr>
          <w:p>
            <w:r>
              <w:rPr>
                <w:b/>
                <w:color w:val="FFFFFF"/>
                <w:sz w:val="18"/>
              </w:rPr>
              <w:t>Ext. actives (unique)</w:t>
            </w:r>
          </w:p>
        </w:tc>
      </w:tr>
      <w:tr>
        <w:tc>
          <w:tcPr>
            <w:tcW w:type="dxa" w:w="1392"/>
          </w:tcPr>
          <w:p>
            <w:r>
              <w:rPr>
                <w:sz w:val="18"/>
              </w:rPr>
              <w:t>5.5</w:t>
            </w:r>
          </w:p>
        </w:tc>
        <w:tc>
          <w:tcPr>
            <w:tcW w:type="dxa" w:w="1392"/>
          </w:tcPr>
          <w:p>
            <w:r>
              <w:rPr>
                <w:sz w:val="18"/>
              </w:rPr>
              <w:t>28.0%</w:t>
            </w:r>
          </w:p>
        </w:tc>
        <w:tc>
          <w:tcPr>
            <w:tcW w:type="dxa" w:w="1392"/>
          </w:tcPr>
          <w:p>
            <w:r>
              <w:rPr>
                <w:sz w:val="18"/>
              </w:rPr>
              <w:t>0.828</w:t>
            </w:r>
          </w:p>
        </w:tc>
        <w:tc>
          <w:tcPr>
            <w:tcW w:type="dxa" w:w="1392"/>
          </w:tcPr>
          <w:p>
            <w:r>
              <w:rPr>
                <w:sz w:val="18"/>
              </w:rPr>
              <w:t>0.704</w:t>
            </w:r>
          </w:p>
        </w:tc>
        <w:tc>
          <w:tcPr>
            <w:tcW w:type="dxa" w:w="1392"/>
          </w:tcPr>
          <w:p>
            <w:r>
              <w:rPr>
                <w:sz w:val="18"/>
              </w:rPr>
              <w:t>0.577</w:t>
            </w:r>
          </w:p>
        </w:tc>
        <w:tc>
          <w:tcPr>
            <w:tcW w:type="dxa" w:w="1392"/>
          </w:tcPr>
          <w:p>
            <w:r>
              <w:rPr>
                <w:sz w:val="18"/>
              </w:rPr>
              <w:t>0.487</w:t>
            </w:r>
          </w:p>
        </w:tc>
        <w:tc>
          <w:tcPr>
            <w:tcW w:type="dxa" w:w="1392"/>
          </w:tcPr>
          <w:p>
            <w:r>
              <w:rPr>
                <w:sz w:val="18"/>
              </w:rPr>
              <w:t>25/92 (27.2%)</w:t>
            </w:r>
          </w:p>
        </w:tc>
      </w:tr>
      <w:tr>
        <w:tc>
          <w:tcPr>
            <w:tcW w:type="dxa" w:w="1392"/>
            <w:shd w:fill="F2F2F2" w:val="clear"/>
          </w:tcPr>
          <w:p>
            <w:r>
              <w:rPr>
                <w:sz w:val="18"/>
              </w:rPr>
              <w:t>6.0 (selected)</w:t>
            </w:r>
          </w:p>
        </w:tc>
        <w:tc>
          <w:tcPr>
            <w:tcW w:type="dxa" w:w="1392"/>
            <w:shd w:fill="F2F2F2" w:val="clear"/>
          </w:tcPr>
          <w:p>
            <w:r>
              <w:rPr>
                <w:sz w:val="18"/>
              </w:rPr>
              <w:t>14.7%</w:t>
            </w:r>
          </w:p>
        </w:tc>
        <w:tc>
          <w:tcPr>
            <w:tcW w:type="dxa" w:w="1392"/>
            <w:shd w:fill="F2F2F2" w:val="clear"/>
          </w:tcPr>
          <w:p>
            <w:r>
              <w:rPr>
                <w:sz w:val="18"/>
              </w:rPr>
              <w:t>0.858</w:t>
            </w:r>
          </w:p>
        </w:tc>
        <w:tc>
          <w:tcPr>
            <w:tcW w:type="dxa" w:w="1392"/>
            <w:shd w:fill="F2F2F2" w:val="clear"/>
          </w:tcPr>
          <w:p>
            <w:r>
              <w:rPr>
                <w:sz w:val="18"/>
              </w:rPr>
              <w:t>0.686</w:t>
            </w:r>
          </w:p>
        </w:tc>
        <w:tc>
          <w:tcPr>
            <w:tcW w:type="dxa" w:w="1392"/>
            <w:shd w:fill="F2F2F2" w:val="clear"/>
          </w:tcPr>
          <w:p>
            <w:r>
              <w:rPr>
                <w:sz w:val="18"/>
              </w:rPr>
              <w:t>0.510</w:t>
            </w:r>
          </w:p>
        </w:tc>
        <w:tc>
          <w:tcPr>
            <w:tcW w:type="dxa" w:w="1392"/>
            <w:shd w:fill="F2F2F2" w:val="clear"/>
          </w:tcPr>
          <w:p>
            <w:r>
              <w:rPr>
                <w:sz w:val="18"/>
              </w:rPr>
              <w:t>0.474</w:t>
            </w:r>
          </w:p>
        </w:tc>
        <w:tc>
          <w:tcPr>
            <w:tcW w:type="dxa" w:w="1392"/>
            <w:shd w:fill="F2F2F2" w:val="clear"/>
          </w:tcPr>
          <w:p>
            <w:r>
              <w:rPr>
                <w:sz w:val="18"/>
              </w:rPr>
              <w:t>7/92 (7.6%)</w:t>
            </w:r>
          </w:p>
        </w:tc>
      </w:tr>
    </w:tbl>
    <w:p/>
    <w:p>
      <w:pPr>
        <w:spacing w:after="160"/>
      </w:pPr>
      <w:r>
        <w:rPr>
          <w:rFonts w:ascii="Calibri" w:hAnsi="Calibri"/>
          <w:b w:val="0"/>
          <w:i/>
          <w:sz w:val="20"/>
        </w:rPr>
        <w:t>Table 2. Classification cutoff comparison on the unique-molecule train set (GroupKFold RF probes). Cutoff 6.0 was selected for higher CV AUC.</w:t>
      </w:r>
    </w:p>
    <w:p>
      <w:pPr>
        <w:spacing w:after="160"/>
      </w:pPr>
      <w:r>
        <w:rPr>
          <w:rFonts w:ascii="Calibri" w:hAnsi="Calibri"/>
          <w:b w:val="0"/>
          <w:i w:val="0"/>
          <w:sz w:val="22"/>
        </w:rPr>
        <w:t>A three-class probe (Inactive &lt; 5 / Moderate 5–6 / Active ≥ 6) gave CV macro-F1 = 0.585 and Test macro-F1 = 0.568; binary classification at pMIC ≥ 6 remained the primary task.</w:t>
      </w:r>
    </w:p>
    <w:p>
      <w:pPr>
        <w:pStyle w:val="Heading2"/>
      </w:pPr>
      <w:r>
        <w:t>3.3 Regression (global model, Butina split)</w:t>
      </w:r>
    </w:p>
    <w:p>
      <w:pPr>
        <w:spacing w:after="160"/>
      </w:pPr>
      <w:r>
        <w:rPr>
          <w:rFonts w:ascii="Calibri" w:hAnsi="Calibri"/>
          <w:b w:val="0"/>
          <w:i w:val="0"/>
          <w:sz w:val="22"/>
        </w:rPr>
        <w:t>After variance (4,949 features), correlation (4,896), and mutual-information selection (top 1,000), Stacking of LightGBM + XGBoost + ExtraTrees → Ridge was best by CV R². LightGBM was the strongest base learner on Test R². Train pMIC mean = 5.00 (SD 0.95; range 2.17–9.00).</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F4E79" w:val="clear"/>
          </w:tcPr>
          <w:p>
            <w:r>
              <w:rPr>
                <w:b/>
                <w:color w:val="FFFFFF"/>
                <w:sz w:val="18"/>
              </w:rPr>
              <w:t>Set</w:t>
            </w:r>
          </w:p>
        </w:tc>
        <w:tc>
          <w:tcPr>
            <w:tcW w:type="dxa" w:w="2436"/>
            <w:shd w:fill="1F4E79" w:val="clear"/>
          </w:tcPr>
          <w:p>
            <w:r>
              <w:rPr>
                <w:b/>
                <w:color w:val="FFFFFF"/>
                <w:sz w:val="18"/>
              </w:rPr>
              <w:t>R²</w:t>
            </w:r>
          </w:p>
        </w:tc>
        <w:tc>
          <w:tcPr>
            <w:tcW w:type="dxa" w:w="2436"/>
            <w:shd w:fill="1F4E79" w:val="clear"/>
          </w:tcPr>
          <w:p>
            <w:r>
              <w:rPr>
                <w:b/>
                <w:color w:val="FFFFFF"/>
                <w:sz w:val="18"/>
              </w:rPr>
              <w:t>RMSE</w:t>
            </w:r>
          </w:p>
        </w:tc>
        <w:tc>
          <w:tcPr>
            <w:tcW w:type="dxa" w:w="2436"/>
            <w:shd w:fill="1F4E79" w:val="clear"/>
          </w:tcPr>
          <w:p>
            <w:r>
              <w:rPr>
                <w:b/>
                <w:color w:val="FFFFFF"/>
                <w:sz w:val="18"/>
              </w:rPr>
              <w:t>MAE</w:t>
            </w:r>
          </w:p>
        </w:tc>
      </w:tr>
      <w:tr>
        <w:tc>
          <w:tcPr>
            <w:tcW w:type="dxa" w:w="2436"/>
          </w:tcPr>
          <w:p>
            <w:r>
              <w:rPr>
                <w:sz w:val="18"/>
              </w:rPr>
              <w:t>Train</w:t>
            </w:r>
          </w:p>
        </w:tc>
        <w:tc>
          <w:tcPr>
            <w:tcW w:type="dxa" w:w="2436"/>
          </w:tcPr>
          <w:p>
            <w:r>
              <w:rPr>
                <w:sz w:val="18"/>
              </w:rPr>
              <w:t>0.920</w:t>
            </w:r>
          </w:p>
        </w:tc>
        <w:tc>
          <w:tcPr>
            <w:tcW w:type="dxa" w:w="2436"/>
          </w:tcPr>
          <w:p>
            <w:r>
              <w:rPr>
                <w:sz w:val="18"/>
              </w:rPr>
              <w:t>0.270</w:t>
            </w:r>
          </w:p>
        </w:tc>
        <w:tc>
          <w:tcPr>
            <w:tcW w:type="dxa" w:w="2436"/>
          </w:tcPr>
          <w:p>
            <w:r>
              <w:rPr>
                <w:sz w:val="18"/>
              </w:rPr>
              <w:t>0.201</w:t>
            </w:r>
          </w:p>
        </w:tc>
      </w:tr>
      <w:tr>
        <w:tc>
          <w:tcPr>
            <w:tcW w:type="dxa" w:w="2436"/>
            <w:shd w:fill="F2F2F2" w:val="clear"/>
          </w:tcPr>
          <w:p>
            <w:r>
              <w:rPr>
                <w:sz w:val="18"/>
              </w:rPr>
              <w:t>CV (OOF)</w:t>
            </w:r>
          </w:p>
        </w:tc>
        <w:tc>
          <w:tcPr>
            <w:tcW w:type="dxa" w:w="2436"/>
            <w:shd w:fill="F2F2F2" w:val="clear"/>
          </w:tcPr>
          <w:p>
            <w:r>
              <w:rPr>
                <w:sz w:val="18"/>
              </w:rPr>
              <w:t>0.431</w:t>
            </w:r>
          </w:p>
        </w:tc>
        <w:tc>
          <w:tcPr>
            <w:tcW w:type="dxa" w:w="2436"/>
            <w:shd w:fill="F2F2F2" w:val="clear"/>
          </w:tcPr>
          <w:p>
            <w:r>
              <w:rPr>
                <w:sz w:val="18"/>
              </w:rPr>
              <w:t>0.719</w:t>
            </w:r>
          </w:p>
        </w:tc>
        <w:tc>
          <w:tcPr>
            <w:tcW w:type="dxa" w:w="2436"/>
            <w:shd w:fill="F2F2F2" w:val="clear"/>
          </w:tcPr>
          <w:p>
            <w:r>
              <w:rPr>
                <w:sz w:val="18"/>
              </w:rPr>
              <w:t>0.551</w:t>
            </w:r>
          </w:p>
        </w:tc>
      </w:tr>
      <w:tr>
        <w:tc>
          <w:tcPr>
            <w:tcW w:type="dxa" w:w="2436"/>
          </w:tcPr>
          <w:p>
            <w:r>
              <w:rPr>
                <w:sz w:val="18"/>
              </w:rPr>
              <w:t>Test</w:t>
            </w:r>
          </w:p>
        </w:tc>
        <w:tc>
          <w:tcPr>
            <w:tcW w:type="dxa" w:w="2436"/>
          </w:tcPr>
          <w:p>
            <w:r>
              <w:rPr>
                <w:sz w:val="18"/>
              </w:rPr>
              <w:t>0.432</w:t>
            </w:r>
          </w:p>
        </w:tc>
        <w:tc>
          <w:tcPr>
            <w:tcW w:type="dxa" w:w="2436"/>
          </w:tcPr>
          <w:p>
            <w:r>
              <w:rPr>
                <w:sz w:val="18"/>
              </w:rPr>
              <w:t>0.714</w:t>
            </w:r>
          </w:p>
        </w:tc>
        <w:tc>
          <w:tcPr>
            <w:tcW w:type="dxa" w:w="2436"/>
          </w:tcPr>
          <w:p>
            <w:r>
              <w:rPr>
                <w:sz w:val="18"/>
              </w:rPr>
              <w:t>0.532</w:t>
            </w:r>
          </w:p>
        </w:tc>
      </w:tr>
    </w:tbl>
    <w:p/>
    <w:p>
      <w:pPr>
        <w:spacing w:after="160"/>
      </w:pPr>
      <w:r>
        <w:rPr>
          <w:rFonts w:ascii="Calibri" w:hAnsi="Calibri"/>
          <w:b w:val="0"/>
          <w:i/>
          <w:sz w:val="20"/>
        </w:rPr>
        <w:t>Table 3. Global regression metrics — Stacking (selected by CV R²).</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1F4E79" w:val="clear"/>
          </w:tcPr>
          <w:p>
            <w:r>
              <w:rPr>
                <w:b/>
                <w:color w:val="FFFFFF"/>
                <w:sz w:val="18"/>
              </w:rPr>
              <w:t>Model</w:t>
            </w:r>
          </w:p>
        </w:tc>
        <w:tc>
          <w:tcPr>
            <w:tcW w:type="dxa" w:w="1949"/>
            <w:shd w:fill="1F4E79" w:val="clear"/>
          </w:tcPr>
          <w:p>
            <w:r>
              <w:rPr>
                <w:b/>
                <w:color w:val="FFFFFF"/>
                <w:sz w:val="18"/>
              </w:rPr>
              <w:t>CV R²</w:t>
            </w:r>
          </w:p>
        </w:tc>
        <w:tc>
          <w:tcPr>
            <w:tcW w:type="dxa" w:w="1949"/>
            <w:shd w:fill="1F4E79" w:val="clear"/>
          </w:tcPr>
          <w:p>
            <w:r>
              <w:rPr>
                <w:b/>
                <w:color w:val="FFFFFF"/>
                <w:sz w:val="18"/>
              </w:rPr>
              <w:t>Test R²</w:t>
            </w:r>
          </w:p>
        </w:tc>
        <w:tc>
          <w:tcPr>
            <w:tcW w:type="dxa" w:w="1949"/>
            <w:shd w:fill="1F4E79" w:val="clear"/>
          </w:tcPr>
          <w:p>
            <w:r>
              <w:rPr>
                <w:b/>
                <w:color w:val="FFFFFF"/>
                <w:sz w:val="18"/>
              </w:rPr>
              <w:t>CV RMSE</w:t>
            </w:r>
          </w:p>
        </w:tc>
        <w:tc>
          <w:tcPr>
            <w:tcW w:type="dxa" w:w="1949"/>
            <w:shd w:fill="1F4E79" w:val="clear"/>
          </w:tcPr>
          <w:p>
            <w:r>
              <w:rPr>
                <w:b/>
                <w:color w:val="FFFFFF"/>
                <w:sz w:val="18"/>
              </w:rPr>
              <w:t>Test RMSE</w:t>
            </w:r>
          </w:p>
        </w:tc>
      </w:tr>
      <w:tr>
        <w:tc>
          <w:tcPr>
            <w:tcW w:type="dxa" w:w="1949"/>
          </w:tcPr>
          <w:p>
            <w:r>
              <w:rPr>
                <w:sz w:val="18"/>
              </w:rPr>
              <w:t>RandomForest</w:t>
            </w:r>
          </w:p>
        </w:tc>
        <w:tc>
          <w:tcPr>
            <w:tcW w:type="dxa" w:w="1949"/>
          </w:tcPr>
          <w:p>
            <w:r>
              <w:rPr>
                <w:sz w:val="18"/>
              </w:rPr>
              <w:t>0.383</w:t>
            </w:r>
          </w:p>
        </w:tc>
        <w:tc>
          <w:tcPr>
            <w:tcW w:type="dxa" w:w="1949"/>
          </w:tcPr>
          <w:p>
            <w:r>
              <w:rPr>
                <w:sz w:val="18"/>
              </w:rPr>
              <w:t>0.384</w:t>
            </w:r>
          </w:p>
        </w:tc>
        <w:tc>
          <w:tcPr>
            <w:tcW w:type="dxa" w:w="1949"/>
          </w:tcPr>
          <w:p>
            <w:r>
              <w:rPr>
                <w:sz w:val="18"/>
              </w:rPr>
              <w:t>0.748</w:t>
            </w:r>
          </w:p>
        </w:tc>
        <w:tc>
          <w:tcPr>
            <w:tcW w:type="dxa" w:w="1949"/>
          </w:tcPr>
          <w:p>
            <w:r>
              <w:rPr>
                <w:sz w:val="18"/>
              </w:rPr>
              <w:t>0.744</w:t>
            </w:r>
          </w:p>
        </w:tc>
      </w:tr>
      <w:tr>
        <w:tc>
          <w:tcPr>
            <w:tcW w:type="dxa" w:w="1949"/>
            <w:shd w:fill="F2F2F2" w:val="clear"/>
          </w:tcPr>
          <w:p>
            <w:r>
              <w:rPr>
                <w:sz w:val="18"/>
              </w:rPr>
              <w:t>ExtraTrees</w:t>
            </w:r>
          </w:p>
        </w:tc>
        <w:tc>
          <w:tcPr>
            <w:tcW w:type="dxa" w:w="1949"/>
            <w:shd w:fill="F2F2F2" w:val="clear"/>
          </w:tcPr>
          <w:p>
            <w:r>
              <w:rPr>
                <w:sz w:val="18"/>
              </w:rPr>
              <w:t>0.396</w:t>
            </w:r>
          </w:p>
        </w:tc>
        <w:tc>
          <w:tcPr>
            <w:tcW w:type="dxa" w:w="1949"/>
            <w:shd w:fill="F2F2F2" w:val="clear"/>
          </w:tcPr>
          <w:p>
            <w:r>
              <w:rPr>
                <w:sz w:val="18"/>
              </w:rPr>
              <w:t>0.396</w:t>
            </w:r>
          </w:p>
        </w:tc>
        <w:tc>
          <w:tcPr>
            <w:tcW w:type="dxa" w:w="1949"/>
            <w:shd w:fill="F2F2F2" w:val="clear"/>
          </w:tcPr>
          <w:p>
            <w:r>
              <w:rPr>
                <w:sz w:val="18"/>
              </w:rPr>
              <w:t>0.740</w:t>
            </w:r>
          </w:p>
        </w:tc>
        <w:tc>
          <w:tcPr>
            <w:tcW w:type="dxa" w:w="1949"/>
            <w:shd w:fill="F2F2F2" w:val="clear"/>
          </w:tcPr>
          <w:p>
            <w:r>
              <w:rPr>
                <w:sz w:val="18"/>
              </w:rPr>
              <w:t>0.736</w:t>
            </w:r>
          </w:p>
        </w:tc>
      </w:tr>
      <w:tr>
        <w:tc>
          <w:tcPr>
            <w:tcW w:type="dxa" w:w="1949"/>
          </w:tcPr>
          <w:p>
            <w:r>
              <w:rPr>
                <w:sz w:val="18"/>
              </w:rPr>
              <w:t>HistGradBoost</w:t>
            </w:r>
          </w:p>
        </w:tc>
        <w:tc>
          <w:tcPr>
            <w:tcW w:type="dxa" w:w="1949"/>
          </w:tcPr>
          <w:p>
            <w:r>
              <w:rPr>
                <w:sz w:val="18"/>
              </w:rPr>
              <w:t>0.396</w:t>
            </w:r>
          </w:p>
        </w:tc>
        <w:tc>
          <w:tcPr>
            <w:tcW w:type="dxa" w:w="1949"/>
          </w:tcPr>
          <w:p>
            <w:r>
              <w:rPr>
                <w:sz w:val="18"/>
              </w:rPr>
              <w:t>0.374</w:t>
            </w:r>
          </w:p>
        </w:tc>
        <w:tc>
          <w:tcPr>
            <w:tcW w:type="dxa" w:w="1949"/>
          </w:tcPr>
          <w:p>
            <w:r>
              <w:rPr>
                <w:sz w:val="18"/>
              </w:rPr>
              <w:t>0.740</w:t>
            </w:r>
          </w:p>
        </w:tc>
        <w:tc>
          <w:tcPr>
            <w:tcW w:type="dxa" w:w="1949"/>
          </w:tcPr>
          <w:p>
            <w:r>
              <w:rPr>
                <w:sz w:val="18"/>
              </w:rPr>
              <w:t>0.750</w:t>
            </w:r>
          </w:p>
        </w:tc>
      </w:tr>
      <w:tr>
        <w:tc>
          <w:tcPr>
            <w:tcW w:type="dxa" w:w="1949"/>
            <w:shd w:fill="F2F2F2" w:val="clear"/>
          </w:tcPr>
          <w:p>
            <w:r>
              <w:rPr>
                <w:sz w:val="18"/>
              </w:rPr>
              <w:t>Ridge</w:t>
            </w:r>
          </w:p>
        </w:tc>
        <w:tc>
          <w:tcPr>
            <w:tcW w:type="dxa" w:w="1949"/>
            <w:shd w:fill="F2F2F2" w:val="clear"/>
          </w:tcPr>
          <w:p>
            <w:r>
              <w:rPr>
                <w:sz w:val="18"/>
              </w:rPr>
              <w:t>0.156</w:t>
            </w:r>
          </w:p>
        </w:tc>
        <w:tc>
          <w:tcPr>
            <w:tcW w:type="dxa" w:w="1949"/>
            <w:shd w:fill="F2F2F2" w:val="clear"/>
          </w:tcPr>
          <w:p>
            <w:r>
              <w:rPr>
                <w:sz w:val="18"/>
              </w:rPr>
              <w:t>0.131</w:t>
            </w:r>
          </w:p>
        </w:tc>
        <w:tc>
          <w:tcPr>
            <w:tcW w:type="dxa" w:w="1949"/>
            <w:shd w:fill="F2F2F2" w:val="clear"/>
          </w:tcPr>
          <w:p>
            <w:r>
              <w:rPr>
                <w:sz w:val="18"/>
              </w:rPr>
              <w:t>0.875</w:t>
            </w:r>
          </w:p>
        </w:tc>
        <w:tc>
          <w:tcPr>
            <w:tcW w:type="dxa" w:w="1949"/>
            <w:shd w:fill="F2F2F2" w:val="clear"/>
          </w:tcPr>
          <w:p>
            <w:r>
              <w:rPr>
                <w:sz w:val="18"/>
              </w:rPr>
              <w:t>0.883</w:t>
            </w:r>
          </w:p>
        </w:tc>
      </w:tr>
      <w:tr>
        <w:tc>
          <w:tcPr>
            <w:tcW w:type="dxa" w:w="1949"/>
          </w:tcPr>
          <w:p>
            <w:r>
              <w:rPr>
                <w:sz w:val="18"/>
              </w:rPr>
              <w:t>LinearSVR</w:t>
            </w:r>
          </w:p>
        </w:tc>
        <w:tc>
          <w:tcPr>
            <w:tcW w:type="dxa" w:w="1949"/>
          </w:tcPr>
          <w:p>
            <w:r>
              <w:rPr>
                <w:sz w:val="18"/>
              </w:rPr>
              <w:t>0.097</w:t>
            </w:r>
          </w:p>
        </w:tc>
        <w:tc>
          <w:tcPr>
            <w:tcW w:type="dxa" w:w="1949"/>
          </w:tcPr>
          <w:p>
            <w:r>
              <w:rPr>
                <w:sz w:val="18"/>
              </w:rPr>
              <w:t>0.077</w:t>
            </w:r>
          </w:p>
        </w:tc>
        <w:tc>
          <w:tcPr>
            <w:tcW w:type="dxa" w:w="1949"/>
          </w:tcPr>
          <w:p>
            <w:r>
              <w:rPr>
                <w:sz w:val="18"/>
              </w:rPr>
              <w:t>0.905</w:t>
            </w:r>
          </w:p>
        </w:tc>
        <w:tc>
          <w:tcPr>
            <w:tcW w:type="dxa" w:w="1949"/>
          </w:tcPr>
          <w:p>
            <w:r>
              <w:rPr>
                <w:sz w:val="18"/>
              </w:rPr>
              <w:t>0.910</w:t>
            </w:r>
          </w:p>
        </w:tc>
      </w:tr>
      <w:tr>
        <w:tc>
          <w:tcPr>
            <w:tcW w:type="dxa" w:w="1949"/>
            <w:shd w:fill="F2F2F2" w:val="clear"/>
          </w:tcPr>
          <w:p>
            <w:r>
              <w:rPr>
                <w:sz w:val="18"/>
              </w:rPr>
              <w:t>XGBoost</w:t>
            </w:r>
          </w:p>
        </w:tc>
        <w:tc>
          <w:tcPr>
            <w:tcW w:type="dxa" w:w="1949"/>
            <w:shd w:fill="F2F2F2" w:val="clear"/>
          </w:tcPr>
          <w:p>
            <w:r>
              <w:rPr>
                <w:sz w:val="18"/>
              </w:rPr>
              <w:t>0.407</w:t>
            </w:r>
          </w:p>
        </w:tc>
        <w:tc>
          <w:tcPr>
            <w:tcW w:type="dxa" w:w="1949"/>
            <w:shd w:fill="F2F2F2" w:val="clear"/>
          </w:tcPr>
          <w:p>
            <w:r>
              <w:rPr>
                <w:sz w:val="18"/>
              </w:rPr>
              <w:t>0.396</w:t>
            </w:r>
          </w:p>
        </w:tc>
        <w:tc>
          <w:tcPr>
            <w:tcW w:type="dxa" w:w="1949"/>
            <w:shd w:fill="F2F2F2" w:val="clear"/>
          </w:tcPr>
          <w:p>
            <w:r>
              <w:rPr>
                <w:sz w:val="18"/>
              </w:rPr>
              <w:t>0.733</w:t>
            </w:r>
          </w:p>
        </w:tc>
        <w:tc>
          <w:tcPr>
            <w:tcW w:type="dxa" w:w="1949"/>
            <w:shd w:fill="F2F2F2" w:val="clear"/>
          </w:tcPr>
          <w:p>
            <w:r>
              <w:rPr>
                <w:sz w:val="18"/>
              </w:rPr>
              <w:t>0.736</w:t>
            </w:r>
          </w:p>
        </w:tc>
      </w:tr>
      <w:tr>
        <w:tc>
          <w:tcPr>
            <w:tcW w:type="dxa" w:w="1949"/>
          </w:tcPr>
          <w:p>
            <w:r>
              <w:rPr>
                <w:sz w:val="18"/>
              </w:rPr>
              <w:t>LightGBM</w:t>
            </w:r>
          </w:p>
        </w:tc>
        <w:tc>
          <w:tcPr>
            <w:tcW w:type="dxa" w:w="1949"/>
          </w:tcPr>
          <w:p>
            <w:r>
              <w:rPr>
                <w:sz w:val="18"/>
              </w:rPr>
              <w:t>0.423</w:t>
            </w:r>
          </w:p>
        </w:tc>
        <w:tc>
          <w:tcPr>
            <w:tcW w:type="dxa" w:w="1949"/>
          </w:tcPr>
          <w:p>
            <w:r>
              <w:rPr>
                <w:sz w:val="18"/>
              </w:rPr>
              <w:t>0.429</w:t>
            </w:r>
          </w:p>
        </w:tc>
        <w:tc>
          <w:tcPr>
            <w:tcW w:type="dxa" w:w="1949"/>
          </w:tcPr>
          <w:p>
            <w:r>
              <w:rPr>
                <w:sz w:val="18"/>
              </w:rPr>
              <w:t>0.724</w:t>
            </w:r>
          </w:p>
        </w:tc>
        <w:tc>
          <w:tcPr>
            <w:tcW w:type="dxa" w:w="1949"/>
          </w:tcPr>
          <w:p>
            <w:r>
              <w:rPr>
                <w:sz w:val="18"/>
              </w:rPr>
              <w:t>0.716</w:t>
            </w:r>
          </w:p>
        </w:tc>
      </w:tr>
      <w:tr>
        <w:tc>
          <w:tcPr>
            <w:tcW w:type="dxa" w:w="1949"/>
            <w:shd w:fill="F2F2F2" w:val="clear"/>
          </w:tcPr>
          <w:p>
            <w:r>
              <w:rPr>
                <w:sz w:val="18"/>
              </w:rPr>
              <w:t>Stacking (selected)</w:t>
            </w:r>
          </w:p>
        </w:tc>
        <w:tc>
          <w:tcPr>
            <w:tcW w:type="dxa" w:w="1949"/>
            <w:shd w:fill="F2F2F2" w:val="clear"/>
          </w:tcPr>
          <w:p>
            <w:r>
              <w:rPr>
                <w:sz w:val="18"/>
              </w:rPr>
              <w:t>0.431</w:t>
            </w:r>
          </w:p>
        </w:tc>
        <w:tc>
          <w:tcPr>
            <w:tcW w:type="dxa" w:w="1949"/>
            <w:shd w:fill="F2F2F2" w:val="clear"/>
          </w:tcPr>
          <w:p>
            <w:r>
              <w:rPr>
                <w:sz w:val="18"/>
              </w:rPr>
              <w:t>0.432</w:t>
            </w:r>
          </w:p>
        </w:tc>
        <w:tc>
          <w:tcPr>
            <w:tcW w:type="dxa" w:w="1949"/>
            <w:shd w:fill="F2F2F2" w:val="clear"/>
          </w:tcPr>
          <w:p>
            <w:r>
              <w:rPr>
                <w:sz w:val="18"/>
              </w:rPr>
              <w:t>0.719</w:t>
            </w:r>
          </w:p>
        </w:tc>
        <w:tc>
          <w:tcPr>
            <w:tcW w:type="dxa" w:w="1949"/>
            <w:shd w:fill="F2F2F2" w:val="clear"/>
          </w:tcPr>
          <w:p>
            <w:r>
              <w:rPr>
                <w:sz w:val="18"/>
              </w:rPr>
              <w:t>0.714</w:t>
            </w:r>
          </w:p>
        </w:tc>
      </w:tr>
    </w:tbl>
    <w:p/>
    <w:p>
      <w:pPr>
        <w:spacing w:after="160"/>
      </w:pPr>
      <w:r>
        <w:rPr>
          <w:rFonts w:ascii="Calibri" w:hAnsi="Calibri"/>
          <w:b w:val="0"/>
          <w:i/>
          <w:sz w:val="20"/>
        </w:rPr>
        <w:t>Table 4. Global regression model comparison on the unique-molecule Butina split.</w:t>
      </w:r>
    </w:p>
    <w:p>
      <w:pPr>
        <w:jc w:val="center"/>
      </w:pPr>
      <w:r>
        <w:drawing>
          <wp:inline xmlns:a="http://schemas.openxmlformats.org/drawingml/2006/main" xmlns:pic="http://schemas.openxmlformats.org/drawingml/2006/picture">
            <wp:extent cx="5120640" cy="1967404"/>
            <wp:docPr id="1" name="Picture 1"/>
            <wp:cNvGraphicFramePr>
              <a:graphicFrameLocks noChangeAspect="1"/>
            </wp:cNvGraphicFramePr>
            <a:graphic>
              <a:graphicData uri="http://schemas.openxmlformats.org/drawingml/2006/picture">
                <pic:pic>
                  <pic:nvPicPr>
                    <pic:cNvPr id="0" name="reg_00_model_comparison.png"/>
                    <pic:cNvPicPr/>
                  </pic:nvPicPr>
                  <pic:blipFill>
                    <a:blip r:embed="rId9"/>
                    <a:stretch>
                      <a:fillRect/>
                    </a:stretch>
                  </pic:blipFill>
                  <pic:spPr>
                    <a:xfrm>
                      <a:off x="0" y="0"/>
                      <a:ext cx="5120640" cy="1967404"/>
                    </a:xfrm>
                    <a:prstGeom prst="rect"/>
                  </pic:spPr>
                </pic:pic>
              </a:graphicData>
            </a:graphic>
          </wp:inline>
        </w:drawing>
      </w:r>
    </w:p>
    <w:p>
      <w:pPr>
        <w:spacing w:after="240"/>
        <w:jc w:val="center"/>
      </w:pPr>
      <w:r>
        <w:rPr>
          <w:rFonts w:ascii="Calibri" w:hAnsi="Calibri"/>
          <w:i/>
          <w:sz w:val="20"/>
        </w:rPr>
        <w:t>Figure 1. Regression model comparison (CV vs Test R²).</w:t>
      </w:r>
    </w:p>
    <w:p>
      <w:pPr>
        <w:jc w:val="center"/>
      </w:pPr>
      <w:r>
        <w:drawing>
          <wp:inline xmlns:a="http://schemas.openxmlformats.org/drawingml/2006/main" xmlns:pic="http://schemas.openxmlformats.org/drawingml/2006/picture">
            <wp:extent cx="5120640" cy="2131799"/>
            <wp:docPr id="2" name="Picture 2"/>
            <wp:cNvGraphicFramePr>
              <a:graphicFrameLocks noChangeAspect="1"/>
            </wp:cNvGraphicFramePr>
            <a:graphic>
              <a:graphicData uri="http://schemas.openxmlformats.org/drawingml/2006/picture">
                <pic:pic>
                  <pic:nvPicPr>
                    <pic:cNvPr id="0" name="reg_01_distribution.png"/>
                    <pic:cNvPicPr/>
                  </pic:nvPicPr>
                  <pic:blipFill>
                    <a:blip r:embed="rId10"/>
                    <a:stretch>
                      <a:fillRect/>
                    </a:stretch>
                  </pic:blipFill>
                  <pic:spPr>
                    <a:xfrm>
                      <a:off x="0" y="0"/>
                      <a:ext cx="5120640" cy="2131799"/>
                    </a:xfrm>
                    <a:prstGeom prst="rect"/>
                  </pic:spPr>
                </pic:pic>
              </a:graphicData>
            </a:graphic>
          </wp:inline>
        </w:drawing>
      </w:r>
    </w:p>
    <w:p>
      <w:pPr>
        <w:spacing w:after="240"/>
        <w:jc w:val="center"/>
      </w:pPr>
      <w:r>
        <w:rPr>
          <w:rFonts w:ascii="Calibri" w:hAnsi="Calibri"/>
          <w:i/>
          <w:sz w:val="20"/>
        </w:rPr>
        <w:t>Figure 2. pMIC / MIC distributions.</w:t>
      </w:r>
    </w:p>
    <w:p>
      <w:pPr>
        <w:jc w:val="center"/>
      </w:pPr>
      <w:r>
        <w:drawing>
          <wp:inline xmlns:a="http://schemas.openxmlformats.org/drawingml/2006/main" xmlns:pic="http://schemas.openxmlformats.org/drawingml/2006/picture">
            <wp:extent cx="5120640" cy="4374916"/>
            <wp:docPr id="3" name="Picture 3"/>
            <wp:cNvGraphicFramePr>
              <a:graphicFrameLocks noChangeAspect="1"/>
            </wp:cNvGraphicFramePr>
            <a:graphic>
              <a:graphicData uri="http://schemas.openxmlformats.org/drawingml/2006/picture">
                <pic:pic>
                  <pic:nvPicPr>
                    <pic:cNvPr id="0" name="reg_02_pred_vs_exp.png"/>
                    <pic:cNvPicPr/>
                  </pic:nvPicPr>
                  <pic:blipFill>
                    <a:blip r:embed="rId11"/>
                    <a:stretch>
                      <a:fillRect/>
                    </a:stretch>
                  </pic:blipFill>
                  <pic:spPr>
                    <a:xfrm>
                      <a:off x="0" y="0"/>
                      <a:ext cx="5120640" cy="4374916"/>
                    </a:xfrm>
                    <a:prstGeom prst="rect"/>
                  </pic:spPr>
                </pic:pic>
              </a:graphicData>
            </a:graphic>
          </wp:inline>
        </w:drawing>
      </w:r>
    </w:p>
    <w:p>
      <w:pPr>
        <w:spacing w:after="240"/>
        <w:jc w:val="center"/>
      </w:pPr>
      <w:r>
        <w:rPr>
          <w:rFonts w:ascii="Calibri" w:hAnsi="Calibri"/>
          <w:i/>
          <w:sz w:val="20"/>
        </w:rPr>
        <w:t>Figure 3. Predicted vs experimental pMIC.</w:t>
      </w:r>
    </w:p>
    <w:p>
      <w:pPr>
        <w:jc w:val="center"/>
      </w:pPr>
      <w:r>
        <w:drawing>
          <wp:inline xmlns:a="http://schemas.openxmlformats.org/drawingml/2006/main" xmlns:pic="http://schemas.openxmlformats.org/drawingml/2006/picture">
            <wp:extent cx="5120640" cy="1592132"/>
            <wp:docPr id="4" name="Picture 4"/>
            <wp:cNvGraphicFramePr>
              <a:graphicFrameLocks noChangeAspect="1"/>
            </wp:cNvGraphicFramePr>
            <a:graphic>
              <a:graphicData uri="http://schemas.openxmlformats.org/drawingml/2006/picture">
                <pic:pic>
                  <pic:nvPicPr>
                    <pic:cNvPr id="0" name="reg_03_residuals.png"/>
                    <pic:cNvPicPr/>
                  </pic:nvPicPr>
                  <pic:blipFill>
                    <a:blip r:embed="rId12"/>
                    <a:stretch>
                      <a:fillRect/>
                    </a:stretch>
                  </pic:blipFill>
                  <pic:spPr>
                    <a:xfrm>
                      <a:off x="0" y="0"/>
                      <a:ext cx="5120640" cy="1592132"/>
                    </a:xfrm>
                    <a:prstGeom prst="rect"/>
                  </pic:spPr>
                </pic:pic>
              </a:graphicData>
            </a:graphic>
          </wp:inline>
        </w:drawing>
      </w:r>
    </w:p>
    <w:p>
      <w:pPr>
        <w:spacing w:after="240"/>
        <w:jc w:val="center"/>
      </w:pPr>
      <w:r>
        <w:rPr>
          <w:rFonts w:ascii="Calibri" w:hAnsi="Calibri"/>
          <w:i/>
          <w:sz w:val="20"/>
        </w:rPr>
        <w:t>Figure 4. Residual plots.</w:t>
      </w:r>
    </w:p>
    <w:p>
      <w:pPr>
        <w:jc w:val="center"/>
      </w:pPr>
      <w:r>
        <w:drawing>
          <wp:inline xmlns:a="http://schemas.openxmlformats.org/drawingml/2006/main" xmlns:pic="http://schemas.openxmlformats.org/drawingml/2006/picture">
            <wp:extent cx="5120640" cy="3167854"/>
            <wp:docPr id="5" name="Picture 5"/>
            <wp:cNvGraphicFramePr>
              <a:graphicFrameLocks noChangeAspect="1"/>
            </wp:cNvGraphicFramePr>
            <a:graphic>
              <a:graphicData uri="http://schemas.openxmlformats.org/drawingml/2006/picture">
                <pic:pic>
                  <pic:nvPicPr>
                    <pic:cNvPr id="0" name="reg_04_error_distribution.png"/>
                    <pic:cNvPicPr/>
                  </pic:nvPicPr>
                  <pic:blipFill>
                    <a:blip r:embed="rId13"/>
                    <a:stretch>
                      <a:fillRect/>
                    </a:stretch>
                  </pic:blipFill>
                  <pic:spPr>
                    <a:xfrm>
                      <a:off x="0" y="0"/>
                      <a:ext cx="5120640" cy="3167854"/>
                    </a:xfrm>
                    <a:prstGeom prst="rect"/>
                  </pic:spPr>
                </pic:pic>
              </a:graphicData>
            </a:graphic>
          </wp:inline>
        </w:drawing>
      </w:r>
    </w:p>
    <w:p>
      <w:pPr>
        <w:spacing w:after="240"/>
        <w:jc w:val="center"/>
      </w:pPr>
      <w:r>
        <w:rPr>
          <w:rFonts w:ascii="Calibri" w:hAnsi="Calibri"/>
          <w:i/>
          <w:sz w:val="20"/>
        </w:rPr>
        <w:t>Figure 5. Error distributions.</w:t>
      </w:r>
    </w:p>
    <w:p>
      <w:pPr>
        <w:jc w:val="center"/>
      </w:pPr>
      <w:r>
        <w:drawing>
          <wp:inline xmlns:a="http://schemas.openxmlformats.org/drawingml/2006/main" xmlns:pic="http://schemas.openxmlformats.org/drawingml/2006/picture">
            <wp:extent cx="5120640" cy="2525721"/>
            <wp:docPr id="6" name="Picture 6"/>
            <wp:cNvGraphicFramePr>
              <a:graphicFrameLocks noChangeAspect="1"/>
            </wp:cNvGraphicFramePr>
            <a:graphic>
              <a:graphicData uri="http://schemas.openxmlformats.org/drawingml/2006/picture">
                <pic:pic>
                  <pic:nvPicPr>
                    <pic:cNvPr id="0" name="reg_05_metrics_summary.png"/>
                    <pic:cNvPicPr/>
                  </pic:nvPicPr>
                  <pic:blipFill>
                    <a:blip r:embed="rId14"/>
                    <a:stretch>
                      <a:fillRect/>
                    </a:stretch>
                  </pic:blipFill>
                  <pic:spPr>
                    <a:xfrm>
                      <a:off x="0" y="0"/>
                      <a:ext cx="5120640" cy="2525721"/>
                    </a:xfrm>
                    <a:prstGeom prst="rect"/>
                  </pic:spPr>
                </pic:pic>
              </a:graphicData>
            </a:graphic>
          </wp:inline>
        </w:drawing>
      </w:r>
    </w:p>
    <w:p>
      <w:pPr>
        <w:spacing w:after="240"/>
        <w:jc w:val="center"/>
      </w:pPr>
      <w:r>
        <w:rPr>
          <w:rFonts w:ascii="Calibri" w:hAnsi="Calibri"/>
          <w:i/>
          <w:sz w:val="20"/>
        </w:rPr>
        <w:t>Figure 6. Regression metrics summary.</w:t>
      </w:r>
    </w:p>
    <w:p>
      <w:pPr>
        <w:jc w:val="center"/>
      </w:pPr>
      <w:r>
        <w:drawing>
          <wp:inline xmlns:a="http://schemas.openxmlformats.org/drawingml/2006/main" xmlns:pic="http://schemas.openxmlformats.org/drawingml/2006/picture">
            <wp:extent cx="5120640" cy="1543492"/>
            <wp:docPr id="7" name="Picture 7"/>
            <wp:cNvGraphicFramePr>
              <a:graphicFrameLocks noChangeAspect="1"/>
            </wp:cNvGraphicFramePr>
            <a:graphic>
              <a:graphicData uri="http://schemas.openxmlformats.org/drawingml/2006/picture">
                <pic:pic>
                  <pic:nvPicPr>
                    <pic:cNvPr id="0" name="reg_06_cv_performance.png"/>
                    <pic:cNvPicPr/>
                  </pic:nvPicPr>
                  <pic:blipFill>
                    <a:blip r:embed="rId15"/>
                    <a:stretch>
                      <a:fillRect/>
                    </a:stretch>
                  </pic:blipFill>
                  <pic:spPr>
                    <a:xfrm>
                      <a:off x="0" y="0"/>
                      <a:ext cx="5120640" cy="1543492"/>
                    </a:xfrm>
                    <a:prstGeom prst="rect"/>
                  </pic:spPr>
                </pic:pic>
              </a:graphicData>
            </a:graphic>
          </wp:inline>
        </w:drawing>
      </w:r>
    </w:p>
    <w:p>
      <w:pPr>
        <w:spacing w:after="240"/>
        <w:jc w:val="center"/>
      </w:pPr>
      <w:r>
        <w:rPr>
          <w:rFonts w:ascii="Calibri" w:hAnsi="Calibri"/>
          <w:i/>
          <w:sz w:val="20"/>
        </w:rPr>
        <w:t>Figure 7. Per-fold CV regression metrics.</w:t>
      </w:r>
    </w:p>
    <w:p>
      <w:pPr>
        <w:jc w:val="center"/>
      </w:pPr>
      <w:r>
        <w:drawing>
          <wp:inline xmlns:a="http://schemas.openxmlformats.org/drawingml/2006/main" xmlns:pic="http://schemas.openxmlformats.org/drawingml/2006/picture">
            <wp:extent cx="5120640" cy="1558570"/>
            <wp:docPr id="8" name="Picture 8"/>
            <wp:cNvGraphicFramePr>
              <a:graphicFrameLocks noChangeAspect="1"/>
            </wp:cNvGraphicFramePr>
            <a:graphic>
              <a:graphicData uri="http://schemas.openxmlformats.org/drawingml/2006/picture">
                <pic:pic>
                  <pic:nvPicPr>
                    <pic:cNvPr id="0" name="reg_07_embedding.png"/>
                    <pic:cNvPicPr/>
                  </pic:nvPicPr>
                  <pic:blipFill>
                    <a:blip r:embed="rId16"/>
                    <a:stretch>
                      <a:fillRect/>
                    </a:stretch>
                  </pic:blipFill>
                  <pic:spPr>
                    <a:xfrm>
                      <a:off x="0" y="0"/>
                      <a:ext cx="5120640" cy="1558570"/>
                    </a:xfrm>
                    <a:prstGeom prst="rect"/>
                  </pic:spPr>
                </pic:pic>
              </a:graphicData>
            </a:graphic>
          </wp:inline>
        </w:drawing>
      </w:r>
    </w:p>
    <w:p>
      <w:pPr>
        <w:spacing w:after="240"/>
        <w:jc w:val="center"/>
      </w:pPr>
      <w:r>
        <w:rPr>
          <w:rFonts w:ascii="Calibri" w:hAnsi="Calibri"/>
          <w:i/>
          <w:sz w:val="20"/>
        </w:rPr>
        <w:t>Figure 8. Chemical-space embeddings (regression).</w:t>
      </w:r>
    </w:p>
    <w:p>
      <w:pPr>
        <w:jc w:val="center"/>
      </w:pPr>
      <w:r>
        <w:drawing>
          <wp:inline xmlns:a="http://schemas.openxmlformats.org/drawingml/2006/main" xmlns:pic="http://schemas.openxmlformats.org/drawingml/2006/picture">
            <wp:extent cx="5120640" cy="4308275"/>
            <wp:docPr id="9" name="Picture 9"/>
            <wp:cNvGraphicFramePr>
              <a:graphicFrameLocks noChangeAspect="1"/>
            </wp:cNvGraphicFramePr>
            <a:graphic>
              <a:graphicData uri="http://schemas.openxmlformats.org/drawingml/2006/picture">
                <pic:pic>
                  <pic:nvPicPr>
                    <pic:cNvPr id="0" name="reg_08_shap_summary.png"/>
                    <pic:cNvPicPr/>
                  </pic:nvPicPr>
                  <pic:blipFill>
                    <a:blip r:embed="rId17"/>
                    <a:stretch>
                      <a:fillRect/>
                    </a:stretch>
                  </pic:blipFill>
                  <pic:spPr>
                    <a:xfrm>
                      <a:off x="0" y="0"/>
                      <a:ext cx="5120640" cy="4308275"/>
                    </a:xfrm>
                    <a:prstGeom prst="rect"/>
                  </pic:spPr>
                </pic:pic>
              </a:graphicData>
            </a:graphic>
          </wp:inline>
        </w:drawing>
      </w:r>
    </w:p>
    <w:p>
      <w:pPr>
        <w:spacing w:after="240"/>
        <w:jc w:val="center"/>
      </w:pPr>
      <w:r>
        <w:rPr>
          <w:rFonts w:ascii="Calibri" w:hAnsi="Calibri"/>
          <w:i/>
          <w:sz w:val="20"/>
        </w:rPr>
        <w:t>Figure 9. Regression SHAP summary.</w:t>
      </w:r>
    </w:p>
    <w:p>
      <w:pPr>
        <w:jc w:val="center"/>
      </w:pPr>
      <w:r>
        <w:drawing>
          <wp:inline xmlns:a="http://schemas.openxmlformats.org/drawingml/2006/main" xmlns:pic="http://schemas.openxmlformats.org/drawingml/2006/picture">
            <wp:extent cx="5120640" cy="3965608"/>
            <wp:docPr id="10" name="Picture 10"/>
            <wp:cNvGraphicFramePr>
              <a:graphicFrameLocks noChangeAspect="1"/>
            </wp:cNvGraphicFramePr>
            <a:graphic>
              <a:graphicData uri="http://schemas.openxmlformats.org/drawingml/2006/picture">
                <pic:pic>
                  <pic:nvPicPr>
                    <pic:cNvPr id="0" name="reg_09_feature_importance.png"/>
                    <pic:cNvPicPr/>
                  </pic:nvPicPr>
                  <pic:blipFill>
                    <a:blip r:embed="rId18"/>
                    <a:stretch>
                      <a:fillRect/>
                    </a:stretch>
                  </pic:blipFill>
                  <pic:spPr>
                    <a:xfrm>
                      <a:off x="0" y="0"/>
                      <a:ext cx="5120640" cy="3965608"/>
                    </a:xfrm>
                    <a:prstGeom prst="rect"/>
                  </pic:spPr>
                </pic:pic>
              </a:graphicData>
            </a:graphic>
          </wp:inline>
        </w:drawing>
      </w:r>
    </w:p>
    <w:p>
      <w:pPr>
        <w:spacing w:after="240"/>
        <w:jc w:val="center"/>
      </w:pPr>
      <w:r>
        <w:rPr>
          <w:rFonts w:ascii="Calibri" w:hAnsi="Calibri"/>
          <w:i/>
          <w:sz w:val="20"/>
        </w:rPr>
        <w:t>Figure 10. Regression feature importance.</w:t>
      </w:r>
    </w:p>
    <w:p>
      <w:pPr>
        <w:jc w:val="center"/>
      </w:pPr>
      <w:r>
        <w:drawing>
          <wp:inline xmlns:a="http://schemas.openxmlformats.org/drawingml/2006/main" xmlns:pic="http://schemas.openxmlformats.org/drawingml/2006/picture">
            <wp:extent cx="5120640" cy="1955823"/>
            <wp:docPr id="11" name="Picture 11"/>
            <wp:cNvGraphicFramePr>
              <a:graphicFrameLocks noChangeAspect="1"/>
            </wp:cNvGraphicFramePr>
            <a:graphic>
              <a:graphicData uri="http://schemas.openxmlformats.org/drawingml/2006/picture">
                <pic:pic>
                  <pic:nvPicPr>
                    <pic:cNvPr id="0" name="reg_10_shap_dependence.png"/>
                    <pic:cNvPicPr/>
                  </pic:nvPicPr>
                  <pic:blipFill>
                    <a:blip r:embed="rId19"/>
                    <a:stretch>
                      <a:fillRect/>
                    </a:stretch>
                  </pic:blipFill>
                  <pic:spPr>
                    <a:xfrm>
                      <a:off x="0" y="0"/>
                      <a:ext cx="5120640" cy="1955823"/>
                    </a:xfrm>
                    <a:prstGeom prst="rect"/>
                  </pic:spPr>
                </pic:pic>
              </a:graphicData>
            </a:graphic>
          </wp:inline>
        </w:drawing>
      </w:r>
    </w:p>
    <w:p>
      <w:pPr>
        <w:spacing w:after="240"/>
        <w:jc w:val="center"/>
      </w:pPr>
      <w:r>
        <w:rPr>
          <w:rFonts w:ascii="Calibri" w:hAnsi="Calibri"/>
          <w:i/>
          <w:sz w:val="20"/>
        </w:rPr>
        <w:t>Figure 11. Regression SHAP dependence.</w:t>
      </w:r>
    </w:p>
    <w:p>
      <w:pPr>
        <w:jc w:val="center"/>
      </w:pPr>
      <w:r>
        <w:drawing>
          <wp:inline xmlns:a="http://schemas.openxmlformats.org/drawingml/2006/main" xmlns:pic="http://schemas.openxmlformats.org/drawingml/2006/picture">
            <wp:extent cx="5120640" cy="3171213"/>
            <wp:docPr id="12" name="Picture 12"/>
            <wp:cNvGraphicFramePr>
              <a:graphicFrameLocks noChangeAspect="1"/>
            </wp:cNvGraphicFramePr>
            <a:graphic>
              <a:graphicData uri="http://schemas.openxmlformats.org/drawingml/2006/picture">
                <pic:pic>
                  <pic:nvPicPr>
                    <pic:cNvPr id="0" name="reg_11_y_randomization.png"/>
                    <pic:cNvPicPr/>
                  </pic:nvPicPr>
                  <pic:blipFill>
                    <a:blip r:embed="rId20"/>
                    <a:stretch>
                      <a:fillRect/>
                    </a:stretch>
                  </pic:blipFill>
                  <pic:spPr>
                    <a:xfrm>
                      <a:off x="0" y="0"/>
                      <a:ext cx="5120640" cy="3171213"/>
                    </a:xfrm>
                    <a:prstGeom prst="rect"/>
                  </pic:spPr>
                </pic:pic>
              </a:graphicData>
            </a:graphic>
          </wp:inline>
        </w:drawing>
      </w:r>
    </w:p>
    <w:p>
      <w:pPr>
        <w:spacing w:after="240"/>
        <w:jc w:val="center"/>
      </w:pPr>
      <w:r>
        <w:rPr>
          <w:rFonts w:ascii="Calibri" w:hAnsi="Calibri"/>
          <w:i/>
          <w:sz w:val="20"/>
        </w:rPr>
        <w:t>Figure 12. Y-randomization (regression).</w:t>
      </w:r>
    </w:p>
    <w:p>
      <w:pPr>
        <w:jc w:val="center"/>
      </w:pPr>
      <w:r>
        <w:drawing>
          <wp:inline xmlns:a="http://schemas.openxmlformats.org/drawingml/2006/main" xmlns:pic="http://schemas.openxmlformats.org/drawingml/2006/picture">
            <wp:extent cx="5120640" cy="3720385"/>
            <wp:docPr id="13" name="Picture 13"/>
            <wp:cNvGraphicFramePr>
              <a:graphicFrameLocks noChangeAspect="1"/>
            </wp:cNvGraphicFramePr>
            <a:graphic>
              <a:graphicData uri="http://schemas.openxmlformats.org/drawingml/2006/picture">
                <pic:pic>
                  <pic:nvPicPr>
                    <pic:cNvPr id="0" name="reg_12_williams_plot.png"/>
                    <pic:cNvPicPr/>
                  </pic:nvPicPr>
                  <pic:blipFill>
                    <a:blip r:embed="rId21"/>
                    <a:stretch>
                      <a:fillRect/>
                    </a:stretch>
                  </pic:blipFill>
                  <pic:spPr>
                    <a:xfrm>
                      <a:off x="0" y="0"/>
                      <a:ext cx="5120640" cy="3720385"/>
                    </a:xfrm>
                    <a:prstGeom prst="rect"/>
                  </pic:spPr>
                </pic:pic>
              </a:graphicData>
            </a:graphic>
          </wp:inline>
        </w:drawing>
      </w:r>
    </w:p>
    <w:p>
      <w:pPr>
        <w:spacing w:after="240"/>
        <w:jc w:val="center"/>
      </w:pPr>
      <w:r>
        <w:rPr>
          <w:rFonts w:ascii="Calibri" w:hAnsi="Calibri"/>
          <w:i/>
          <w:sz w:val="20"/>
        </w:rPr>
        <w:t>Figure 13. Williams plot (regression AD) with Train, Test, and External; legend shows in-AD %.</w:t>
      </w:r>
    </w:p>
    <w:p>
      <w:pPr>
        <w:jc w:val="center"/>
      </w:pPr>
      <w:r>
        <w:drawing>
          <wp:inline xmlns:a="http://schemas.openxmlformats.org/drawingml/2006/main" xmlns:pic="http://schemas.openxmlformats.org/drawingml/2006/picture">
            <wp:extent cx="5120640" cy="1967404"/>
            <wp:docPr id="14" name="Picture 14"/>
            <wp:cNvGraphicFramePr>
              <a:graphicFrameLocks noChangeAspect="1"/>
            </wp:cNvGraphicFramePr>
            <a:graphic>
              <a:graphicData uri="http://schemas.openxmlformats.org/drawingml/2006/picture">
                <pic:pic>
                  <pic:nvPicPr>
                    <pic:cNvPr id="0" name="reg_13_rmse_comparison.png"/>
                    <pic:cNvPicPr/>
                  </pic:nvPicPr>
                  <pic:blipFill>
                    <a:blip r:embed="rId22"/>
                    <a:stretch>
                      <a:fillRect/>
                    </a:stretch>
                  </pic:blipFill>
                  <pic:spPr>
                    <a:xfrm>
                      <a:off x="0" y="0"/>
                      <a:ext cx="5120640" cy="1967404"/>
                    </a:xfrm>
                    <a:prstGeom prst="rect"/>
                  </pic:spPr>
                </pic:pic>
              </a:graphicData>
            </a:graphic>
          </wp:inline>
        </w:drawing>
      </w:r>
    </w:p>
    <w:p>
      <w:pPr>
        <w:spacing w:after="240"/>
        <w:jc w:val="center"/>
      </w:pPr>
      <w:r>
        <w:rPr>
          <w:rFonts w:ascii="Calibri" w:hAnsi="Calibri"/>
          <w:i/>
          <w:sz w:val="20"/>
        </w:rPr>
        <w:t>Figure 14. RMSE comparison across regressors.</w:t>
      </w:r>
    </w:p>
    <w:p>
      <w:pPr>
        <w:pStyle w:val="Heading2"/>
      </w:pPr>
      <w:r>
        <w:t>3.4 Classification (pMIC ≥ 6.0)</w:t>
      </w:r>
    </w:p>
    <w:p>
      <w:pPr>
        <w:spacing w:after="160"/>
      </w:pPr>
      <w:r>
        <w:rPr>
          <w:rFonts w:ascii="Calibri" w:hAnsi="Calibri"/>
          <w:b w:val="0"/>
          <w:i w:val="0"/>
          <w:sz w:val="22"/>
        </w:rPr>
        <w:t>Gray-zone exclusion removed 3,169 train compounds with |pMIC − 6| &lt; 0.5. Classification training then used 12,177 compounds (1,125 active, 9.2%); the test set retained 3,837 (405 active, 10.6%). Feature selection reduced the space to 300 mutual-information features. Stacking (ExtraTrees + RandomForest + LightGBM → LogisticRegression) achieved the best CV ROC-AUC (0.915). The saved decision threshold (balanced accuracy on train probabilities) was 0.28. ExtraTrees was used as the SHAP surrogate.</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1F4E79" w:val="clear"/>
          </w:tcPr>
          <w:p>
            <w:r>
              <w:rPr>
                <w:b/>
                <w:color w:val="FFFFFF"/>
                <w:sz w:val="18"/>
              </w:rPr>
              <w:t>Model</w:t>
            </w:r>
          </w:p>
        </w:tc>
        <w:tc>
          <w:tcPr>
            <w:tcW w:type="dxa" w:w="1949"/>
            <w:shd w:fill="1F4E79" w:val="clear"/>
          </w:tcPr>
          <w:p>
            <w:r>
              <w:rPr>
                <w:b/>
                <w:color w:val="FFFFFF"/>
                <w:sz w:val="18"/>
              </w:rPr>
              <w:t>CV AUC</w:t>
            </w:r>
          </w:p>
        </w:tc>
        <w:tc>
          <w:tcPr>
            <w:tcW w:type="dxa" w:w="1949"/>
            <w:shd w:fill="1F4E79" w:val="clear"/>
          </w:tcPr>
          <w:p>
            <w:r>
              <w:rPr>
                <w:b/>
                <w:color w:val="FFFFFF"/>
                <w:sz w:val="18"/>
              </w:rPr>
              <w:t>Test AUC</w:t>
            </w:r>
          </w:p>
        </w:tc>
        <w:tc>
          <w:tcPr>
            <w:tcW w:type="dxa" w:w="1949"/>
            <w:shd w:fill="1F4E79" w:val="clear"/>
          </w:tcPr>
          <w:p>
            <w:r>
              <w:rPr>
                <w:b/>
                <w:color w:val="FFFFFF"/>
                <w:sz w:val="18"/>
              </w:rPr>
              <w:t>CV F1</w:t>
            </w:r>
          </w:p>
        </w:tc>
        <w:tc>
          <w:tcPr>
            <w:tcW w:type="dxa" w:w="1949"/>
            <w:shd w:fill="1F4E79" w:val="clear"/>
          </w:tcPr>
          <w:p>
            <w:r>
              <w:rPr>
                <w:b/>
                <w:color w:val="FFFFFF"/>
                <w:sz w:val="18"/>
              </w:rPr>
              <w:t>Test F1</w:t>
            </w:r>
          </w:p>
        </w:tc>
      </w:tr>
      <w:tr>
        <w:tc>
          <w:tcPr>
            <w:tcW w:type="dxa" w:w="1949"/>
          </w:tcPr>
          <w:p>
            <w:r>
              <w:rPr>
                <w:sz w:val="18"/>
              </w:rPr>
              <w:t>LinearSVM</w:t>
            </w:r>
          </w:p>
        </w:tc>
        <w:tc>
          <w:tcPr>
            <w:tcW w:type="dxa" w:w="1949"/>
          </w:tcPr>
          <w:p>
            <w:r>
              <w:rPr>
                <w:sz w:val="18"/>
              </w:rPr>
              <w:t>0.828</w:t>
            </w:r>
          </w:p>
        </w:tc>
        <w:tc>
          <w:tcPr>
            <w:tcW w:type="dxa" w:w="1949"/>
          </w:tcPr>
          <w:p>
            <w:r>
              <w:rPr>
                <w:sz w:val="18"/>
              </w:rPr>
              <w:t>0.711</w:t>
            </w:r>
          </w:p>
        </w:tc>
        <w:tc>
          <w:tcPr>
            <w:tcW w:type="dxa" w:w="1949"/>
          </w:tcPr>
          <w:p>
            <w:r>
              <w:rPr>
                <w:sz w:val="18"/>
              </w:rPr>
              <w:t>0.380</w:t>
            </w:r>
          </w:p>
        </w:tc>
        <w:tc>
          <w:tcPr>
            <w:tcW w:type="dxa" w:w="1949"/>
          </w:tcPr>
          <w:p>
            <w:r>
              <w:rPr>
                <w:sz w:val="18"/>
              </w:rPr>
              <w:t>0.321</w:t>
            </w:r>
          </w:p>
        </w:tc>
      </w:tr>
      <w:tr>
        <w:tc>
          <w:tcPr>
            <w:tcW w:type="dxa" w:w="1949"/>
            <w:shd w:fill="F2F2F2" w:val="clear"/>
          </w:tcPr>
          <w:p>
            <w:r>
              <w:rPr>
                <w:sz w:val="18"/>
              </w:rPr>
              <w:t>LogisticReg</w:t>
            </w:r>
          </w:p>
        </w:tc>
        <w:tc>
          <w:tcPr>
            <w:tcW w:type="dxa" w:w="1949"/>
            <w:shd w:fill="F2F2F2" w:val="clear"/>
          </w:tcPr>
          <w:p>
            <w:r>
              <w:rPr>
                <w:sz w:val="18"/>
              </w:rPr>
              <w:t>0.828</w:t>
            </w:r>
          </w:p>
        </w:tc>
        <w:tc>
          <w:tcPr>
            <w:tcW w:type="dxa" w:w="1949"/>
            <w:shd w:fill="F2F2F2" w:val="clear"/>
          </w:tcPr>
          <w:p>
            <w:r>
              <w:rPr>
                <w:sz w:val="18"/>
              </w:rPr>
              <w:t>0.709</w:t>
            </w:r>
          </w:p>
        </w:tc>
        <w:tc>
          <w:tcPr>
            <w:tcW w:type="dxa" w:w="1949"/>
            <w:shd w:fill="F2F2F2" w:val="clear"/>
          </w:tcPr>
          <w:p>
            <w:r>
              <w:rPr>
                <w:sz w:val="18"/>
              </w:rPr>
              <w:t>0.399</w:t>
            </w:r>
          </w:p>
        </w:tc>
        <w:tc>
          <w:tcPr>
            <w:tcW w:type="dxa" w:w="1949"/>
            <w:shd w:fill="F2F2F2" w:val="clear"/>
          </w:tcPr>
          <w:p>
            <w:r>
              <w:rPr>
                <w:sz w:val="18"/>
              </w:rPr>
              <w:t>0.322</w:t>
            </w:r>
          </w:p>
        </w:tc>
      </w:tr>
      <w:tr>
        <w:tc>
          <w:tcPr>
            <w:tcW w:type="dxa" w:w="1949"/>
          </w:tcPr>
          <w:p>
            <w:r>
              <w:rPr>
                <w:sz w:val="18"/>
              </w:rPr>
              <w:t>RandomForest</w:t>
            </w:r>
          </w:p>
        </w:tc>
        <w:tc>
          <w:tcPr>
            <w:tcW w:type="dxa" w:w="1949"/>
          </w:tcPr>
          <w:p>
            <w:r>
              <w:rPr>
                <w:sz w:val="18"/>
              </w:rPr>
              <w:t>0.913</w:t>
            </w:r>
          </w:p>
        </w:tc>
        <w:tc>
          <w:tcPr>
            <w:tcW w:type="dxa" w:w="1949"/>
          </w:tcPr>
          <w:p>
            <w:r>
              <w:rPr>
                <w:sz w:val="18"/>
              </w:rPr>
              <w:t>0.811</w:t>
            </w:r>
          </w:p>
        </w:tc>
        <w:tc>
          <w:tcPr>
            <w:tcW w:type="dxa" w:w="1949"/>
          </w:tcPr>
          <w:p>
            <w:r>
              <w:rPr>
                <w:sz w:val="18"/>
              </w:rPr>
              <w:t>0.521</w:t>
            </w:r>
          </w:p>
        </w:tc>
        <w:tc>
          <w:tcPr>
            <w:tcW w:type="dxa" w:w="1949"/>
          </w:tcPr>
          <w:p>
            <w:r>
              <w:rPr>
                <w:sz w:val="18"/>
              </w:rPr>
              <w:t>0.440</w:t>
            </w:r>
          </w:p>
        </w:tc>
      </w:tr>
      <w:tr>
        <w:tc>
          <w:tcPr>
            <w:tcW w:type="dxa" w:w="1949"/>
            <w:shd w:fill="F2F2F2" w:val="clear"/>
          </w:tcPr>
          <w:p>
            <w:r>
              <w:rPr>
                <w:sz w:val="18"/>
              </w:rPr>
              <w:t>ExtraTrees</w:t>
            </w:r>
          </w:p>
        </w:tc>
        <w:tc>
          <w:tcPr>
            <w:tcW w:type="dxa" w:w="1949"/>
            <w:shd w:fill="F2F2F2" w:val="clear"/>
          </w:tcPr>
          <w:p>
            <w:r>
              <w:rPr>
                <w:sz w:val="18"/>
              </w:rPr>
              <w:t>0.915</w:t>
            </w:r>
          </w:p>
        </w:tc>
        <w:tc>
          <w:tcPr>
            <w:tcW w:type="dxa" w:w="1949"/>
            <w:shd w:fill="F2F2F2" w:val="clear"/>
          </w:tcPr>
          <w:p>
            <w:r>
              <w:rPr>
                <w:sz w:val="18"/>
              </w:rPr>
              <w:t>0.813</w:t>
            </w:r>
          </w:p>
        </w:tc>
        <w:tc>
          <w:tcPr>
            <w:tcW w:type="dxa" w:w="1949"/>
            <w:shd w:fill="F2F2F2" w:val="clear"/>
          </w:tcPr>
          <w:p>
            <w:r>
              <w:rPr>
                <w:sz w:val="18"/>
              </w:rPr>
              <w:t>0.578</w:t>
            </w:r>
          </w:p>
        </w:tc>
        <w:tc>
          <w:tcPr>
            <w:tcW w:type="dxa" w:w="1949"/>
            <w:shd w:fill="F2F2F2" w:val="clear"/>
          </w:tcPr>
          <w:p>
            <w:r>
              <w:rPr>
                <w:sz w:val="18"/>
              </w:rPr>
              <w:t>0.460</w:t>
            </w:r>
          </w:p>
        </w:tc>
      </w:tr>
      <w:tr>
        <w:tc>
          <w:tcPr>
            <w:tcW w:type="dxa" w:w="1949"/>
          </w:tcPr>
          <w:p>
            <w:r>
              <w:rPr>
                <w:sz w:val="18"/>
              </w:rPr>
              <w:t>HistGradBoost</w:t>
            </w:r>
          </w:p>
        </w:tc>
        <w:tc>
          <w:tcPr>
            <w:tcW w:type="dxa" w:w="1949"/>
          </w:tcPr>
          <w:p>
            <w:r>
              <w:rPr>
                <w:sz w:val="18"/>
              </w:rPr>
              <w:t>0.897</w:t>
            </w:r>
          </w:p>
        </w:tc>
        <w:tc>
          <w:tcPr>
            <w:tcW w:type="dxa" w:w="1949"/>
          </w:tcPr>
          <w:p>
            <w:r>
              <w:rPr>
                <w:sz w:val="18"/>
              </w:rPr>
              <w:t>0.780</w:t>
            </w:r>
          </w:p>
        </w:tc>
        <w:tc>
          <w:tcPr>
            <w:tcW w:type="dxa" w:w="1949"/>
          </w:tcPr>
          <w:p>
            <w:r>
              <w:rPr>
                <w:sz w:val="18"/>
              </w:rPr>
              <w:t>0.521</w:t>
            </w:r>
          </w:p>
        </w:tc>
        <w:tc>
          <w:tcPr>
            <w:tcW w:type="dxa" w:w="1949"/>
          </w:tcPr>
          <w:p>
            <w:r>
              <w:rPr>
                <w:sz w:val="18"/>
              </w:rPr>
              <w:t>0.336</w:t>
            </w:r>
          </w:p>
        </w:tc>
      </w:tr>
      <w:tr>
        <w:tc>
          <w:tcPr>
            <w:tcW w:type="dxa" w:w="1949"/>
            <w:shd w:fill="F2F2F2" w:val="clear"/>
          </w:tcPr>
          <w:p>
            <w:r>
              <w:rPr>
                <w:sz w:val="18"/>
              </w:rPr>
              <w:t>XGBoost</w:t>
            </w:r>
          </w:p>
        </w:tc>
        <w:tc>
          <w:tcPr>
            <w:tcW w:type="dxa" w:w="1949"/>
            <w:shd w:fill="F2F2F2" w:val="clear"/>
          </w:tcPr>
          <w:p>
            <w:r>
              <w:rPr>
                <w:sz w:val="18"/>
              </w:rPr>
              <w:t>0.906</w:t>
            </w:r>
          </w:p>
        </w:tc>
        <w:tc>
          <w:tcPr>
            <w:tcW w:type="dxa" w:w="1949"/>
            <w:shd w:fill="F2F2F2" w:val="clear"/>
          </w:tcPr>
          <w:p>
            <w:r>
              <w:rPr>
                <w:sz w:val="18"/>
              </w:rPr>
              <w:t>0.782</w:t>
            </w:r>
          </w:p>
        </w:tc>
        <w:tc>
          <w:tcPr>
            <w:tcW w:type="dxa" w:w="1949"/>
            <w:shd w:fill="F2F2F2" w:val="clear"/>
          </w:tcPr>
          <w:p>
            <w:r>
              <w:rPr>
                <w:sz w:val="18"/>
              </w:rPr>
              <w:t>0.555</w:t>
            </w:r>
          </w:p>
        </w:tc>
        <w:tc>
          <w:tcPr>
            <w:tcW w:type="dxa" w:w="1949"/>
            <w:shd w:fill="F2F2F2" w:val="clear"/>
          </w:tcPr>
          <w:p>
            <w:r>
              <w:rPr>
                <w:sz w:val="18"/>
              </w:rPr>
              <w:t>0.438</w:t>
            </w:r>
          </w:p>
        </w:tc>
      </w:tr>
      <w:tr>
        <w:tc>
          <w:tcPr>
            <w:tcW w:type="dxa" w:w="1949"/>
          </w:tcPr>
          <w:p>
            <w:r>
              <w:rPr>
                <w:sz w:val="18"/>
              </w:rPr>
              <w:t>LightGBM</w:t>
            </w:r>
          </w:p>
        </w:tc>
        <w:tc>
          <w:tcPr>
            <w:tcW w:type="dxa" w:w="1949"/>
          </w:tcPr>
          <w:p>
            <w:r>
              <w:rPr>
                <w:sz w:val="18"/>
              </w:rPr>
              <w:t>0.909</w:t>
            </w:r>
          </w:p>
        </w:tc>
        <w:tc>
          <w:tcPr>
            <w:tcW w:type="dxa" w:w="1949"/>
          </w:tcPr>
          <w:p>
            <w:r>
              <w:rPr>
                <w:sz w:val="18"/>
              </w:rPr>
              <w:t>0.792</w:t>
            </w:r>
          </w:p>
        </w:tc>
        <w:tc>
          <w:tcPr>
            <w:tcW w:type="dxa" w:w="1949"/>
          </w:tcPr>
          <w:p>
            <w:r>
              <w:rPr>
                <w:sz w:val="18"/>
              </w:rPr>
              <w:t>0.624</w:t>
            </w:r>
          </w:p>
        </w:tc>
        <w:tc>
          <w:tcPr>
            <w:tcW w:type="dxa" w:w="1949"/>
          </w:tcPr>
          <w:p>
            <w:r>
              <w:rPr>
                <w:sz w:val="18"/>
              </w:rPr>
              <w:t>0.468</w:t>
            </w:r>
          </w:p>
        </w:tc>
      </w:tr>
      <w:tr>
        <w:tc>
          <w:tcPr>
            <w:tcW w:type="dxa" w:w="1949"/>
            <w:shd w:fill="F2F2F2" w:val="clear"/>
          </w:tcPr>
          <w:p>
            <w:r>
              <w:rPr>
                <w:sz w:val="18"/>
              </w:rPr>
              <w:t>Stacking (saved)</w:t>
            </w:r>
          </w:p>
        </w:tc>
        <w:tc>
          <w:tcPr>
            <w:tcW w:type="dxa" w:w="1949"/>
            <w:shd w:fill="F2F2F2" w:val="clear"/>
          </w:tcPr>
          <w:p>
            <w:r>
              <w:rPr>
                <w:sz w:val="18"/>
              </w:rPr>
              <w:t>0.915</w:t>
            </w:r>
          </w:p>
        </w:tc>
        <w:tc>
          <w:tcPr>
            <w:tcW w:type="dxa" w:w="1949"/>
            <w:shd w:fill="F2F2F2" w:val="clear"/>
          </w:tcPr>
          <w:p>
            <w:r>
              <w:rPr>
                <w:sz w:val="18"/>
              </w:rPr>
              <w:t>0.816</w:t>
            </w:r>
          </w:p>
        </w:tc>
        <w:tc>
          <w:tcPr>
            <w:tcW w:type="dxa" w:w="1949"/>
            <w:shd w:fill="F2F2F2" w:val="clear"/>
          </w:tcPr>
          <w:p>
            <w:r>
              <w:rPr>
                <w:sz w:val="18"/>
              </w:rPr>
              <w:t>0.528</w:t>
            </w:r>
          </w:p>
        </w:tc>
        <w:tc>
          <w:tcPr>
            <w:tcW w:type="dxa" w:w="1949"/>
            <w:shd w:fill="F2F2F2" w:val="clear"/>
          </w:tcPr>
          <w:p>
            <w:r>
              <w:rPr>
                <w:sz w:val="18"/>
              </w:rPr>
              <w:t>0.407</w:t>
            </w:r>
          </w:p>
        </w:tc>
      </w:tr>
    </w:tbl>
    <w:p/>
    <w:p>
      <w:pPr>
        <w:spacing w:after="160"/>
      </w:pPr>
      <w:r>
        <w:rPr>
          <w:rFonts w:ascii="Calibri" w:hAnsi="Calibri"/>
          <w:b w:val="0"/>
          <w:i/>
          <w:sz w:val="20"/>
        </w:rPr>
        <w:t>Table 5. Classification comparison at pMIC ≥ 6 on the unique-molecule split.</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fill="1F4E79" w:val="clear"/>
          </w:tcPr>
          <w:p>
            <w:r>
              <w:rPr>
                <w:b/>
                <w:color w:val="FFFFFF"/>
                <w:sz w:val="18"/>
              </w:rPr>
              <w:t>Set</w:t>
            </w:r>
          </w:p>
        </w:tc>
        <w:tc>
          <w:tcPr>
            <w:tcW w:type="dxa" w:w="1624"/>
            <w:shd w:fill="1F4E79" w:val="clear"/>
          </w:tcPr>
          <w:p>
            <w:r>
              <w:rPr>
                <w:b/>
                <w:color w:val="FFFFFF"/>
                <w:sz w:val="18"/>
              </w:rPr>
              <w:t>Accuracy</w:t>
            </w:r>
          </w:p>
        </w:tc>
        <w:tc>
          <w:tcPr>
            <w:tcW w:type="dxa" w:w="1624"/>
            <w:shd w:fill="1F4E79" w:val="clear"/>
          </w:tcPr>
          <w:p>
            <w:r>
              <w:rPr>
                <w:b/>
                <w:color w:val="FFFFFF"/>
                <w:sz w:val="18"/>
              </w:rPr>
              <w:t>Bal. Acc.</w:t>
            </w:r>
          </w:p>
        </w:tc>
        <w:tc>
          <w:tcPr>
            <w:tcW w:type="dxa" w:w="1624"/>
            <w:shd w:fill="1F4E79" w:val="clear"/>
          </w:tcPr>
          <w:p>
            <w:r>
              <w:rPr>
                <w:b/>
                <w:color w:val="FFFFFF"/>
                <w:sz w:val="18"/>
              </w:rPr>
              <w:t>ROC-AUC</w:t>
            </w:r>
          </w:p>
        </w:tc>
        <w:tc>
          <w:tcPr>
            <w:tcW w:type="dxa" w:w="1624"/>
            <w:shd w:fill="1F4E79" w:val="clear"/>
          </w:tcPr>
          <w:p>
            <w:r>
              <w:rPr>
                <w:b/>
                <w:color w:val="FFFFFF"/>
                <w:sz w:val="18"/>
              </w:rPr>
              <w:t>F1</w:t>
            </w:r>
          </w:p>
        </w:tc>
        <w:tc>
          <w:tcPr>
            <w:tcW w:type="dxa" w:w="1624"/>
            <w:shd w:fill="1F4E79" w:val="clear"/>
          </w:tcPr>
          <w:p>
            <w:r>
              <w:rPr>
                <w:b/>
                <w:color w:val="FFFFFF"/>
                <w:sz w:val="18"/>
              </w:rPr>
              <w:t>MCC</w:t>
            </w:r>
          </w:p>
        </w:tc>
      </w:tr>
      <w:tr>
        <w:tc>
          <w:tcPr>
            <w:tcW w:type="dxa" w:w="1624"/>
          </w:tcPr>
          <w:p>
            <w:r>
              <w:rPr>
                <w:sz w:val="18"/>
              </w:rPr>
              <w:t>Train</w:t>
            </w:r>
          </w:p>
        </w:tc>
        <w:tc>
          <w:tcPr>
            <w:tcW w:type="dxa" w:w="1624"/>
          </w:tcPr>
          <w:p>
            <w:r>
              <w:rPr>
                <w:sz w:val="18"/>
              </w:rPr>
              <w:t>0.949</w:t>
            </w:r>
          </w:p>
        </w:tc>
        <w:tc>
          <w:tcPr>
            <w:tcW w:type="dxa" w:w="1624"/>
          </w:tcPr>
          <w:p>
            <w:r>
              <w:rPr>
                <w:sz w:val="18"/>
              </w:rPr>
              <w:t>0.972</w:t>
            </w:r>
          </w:p>
        </w:tc>
        <w:tc>
          <w:tcPr>
            <w:tcW w:type="dxa" w:w="1624"/>
          </w:tcPr>
          <w:p>
            <w:r>
              <w:rPr>
                <w:sz w:val="18"/>
              </w:rPr>
              <w:t>1.000</w:t>
            </w:r>
          </w:p>
        </w:tc>
        <w:tc>
          <w:tcPr>
            <w:tcW w:type="dxa" w:w="1624"/>
          </w:tcPr>
          <w:p>
            <w:r>
              <w:rPr>
                <w:sz w:val="18"/>
              </w:rPr>
              <w:t>0.782</w:t>
            </w:r>
          </w:p>
        </w:tc>
        <w:tc>
          <w:tcPr>
            <w:tcW w:type="dxa" w:w="1624"/>
          </w:tcPr>
          <w:p>
            <w:r>
              <w:rPr>
                <w:sz w:val="18"/>
              </w:rPr>
              <w:t>0.779</w:t>
            </w:r>
          </w:p>
        </w:tc>
      </w:tr>
      <w:tr>
        <w:tc>
          <w:tcPr>
            <w:tcW w:type="dxa" w:w="1624"/>
            <w:shd w:fill="F2F2F2" w:val="clear"/>
          </w:tcPr>
          <w:p>
            <w:r>
              <w:rPr>
                <w:sz w:val="18"/>
              </w:rPr>
              <w:t>CV (OOF)</w:t>
            </w:r>
          </w:p>
        </w:tc>
        <w:tc>
          <w:tcPr>
            <w:tcW w:type="dxa" w:w="1624"/>
            <w:shd w:fill="F2F2F2" w:val="clear"/>
          </w:tcPr>
          <w:p>
            <w:r>
              <w:rPr>
                <w:sz w:val="18"/>
              </w:rPr>
              <w:t>0.861</w:t>
            </w:r>
          </w:p>
        </w:tc>
        <w:tc>
          <w:tcPr>
            <w:tcW w:type="dxa" w:w="1624"/>
            <w:shd w:fill="F2F2F2" w:val="clear"/>
          </w:tcPr>
          <w:p>
            <w:r>
              <w:rPr>
                <w:sz w:val="18"/>
              </w:rPr>
              <w:t>0.853</w:t>
            </w:r>
          </w:p>
        </w:tc>
        <w:tc>
          <w:tcPr>
            <w:tcW w:type="dxa" w:w="1624"/>
            <w:shd w:fill="F2F2F2" w:val="clear"/>
          </w:tcPr>
          <w:p>
            <w:r>
              <w:rPr>
                <w:sz w:val="18"/>
              </w:rPr>
              <w:t>0.915</w:t>
            </w:r>
          </w:p>
        </w:tc>
        <w:tc>
          <w:tcPr>
            <w:tcW w:type="dxa" w:w="1624"/>
            <w:shd w:fill="F2F2F2" w:val="clear"/>
          </w:tcPr>
          <w:p>
            <w:r>
              <w:rPr>
                <w:sz w:val="18"/>
              </w:rPr>
              <w:t>0.528</w:t>
            </w:r>
          </w:p>
        </w:tc>
        <w:tc>
          <w:tcPr>
            <w:tcW w:type="dxa" w:w="1624"/>
            <w:shd w:fill="F2F2F2" w:val="clear"/>
          </w:tcPr>
          <w:p>
            <w:r>
              <w:rPr>
                <w:sz w:val="18"/>
              </w:rPr>
              <w:t>0.508</w:t>
            </w:r>
          </w:p>
        </w:tc>
      </w:tr>
      <w:tr>
        <w:tc>
          <w:tcPr>
            <w:tcW w:type="dxa" w:w="1624"/>
          </w:tcPr>
          <w:p>
            <w:r>
              <w:rPr>
                <w:sz w:val="18"/>
              </w:rPr>
              <w:t>Test</w:t>
            </w:r>
          </w:p>
        </w:tc>
        <w:tc>
          <w:tcPr>
            <w:tcW w:type="dxa" w:w="1624"/>
          </w:tcPr>
          <w:p>
            <w:r>
              <w:rPr>
                <w:sz w:val="18"/>
              </w:rPr>
              <w:t>0.796</w:t>
            </w:r>
          </w:p>
        </w:tc>
        <w:tc>
          <w:tcPr>
            <w:tcW w:type="dxa" w:w="1624"/>
          </w:tcPr>
          <w:p>
            <w:r>
              <w:rPr>
                <w:sz w:val="18"/>
              </w:rPr>
              <w:t>0.737</w:t>
            </w:r>
          </w:p>
        </w:tc>
        <w:tc>
          <w:tcPr>
            <w:tcW w:type="dxa" w:w="1624"/>
          </w:tcPr>
          <w:p>
            <w:r>
              <w:rPr>
                <w:sz w:val="18"/>
              </w:rPr>
              <w:t>0.816</w:t>
            </w:r>
          </w:p>
        </w:tc>
        <w:tc>
          <w:tcPr>
            <w:tcW w:type="dxa" w:w="1624"/>
          </w:tcPr>
          <w:p>
            <w:r>
              <w:rPr>
                <w:sz w:val="18"/>
              </w:rPr>
              <w:t>0.407</w:t>
            </w:r>
          </w:p>
        </w:tc>
        <w:tc>
          <w:tcPr>
            <w:tcW w:type="dxa" w:w="1624"/>
          </w:tcPr>
          <w:p>
            <w:r>
              <w:rPr>
                <w:sz w:val="18"/>
              </w:rPr>
              <w:t>0.342</w:t>
            </w:r>
          </w:p>
        </w:tc>
      </w:tr>
    </w:tbl>
    <w:p/>
    <w:p>
      <w:pPr>
        <w:spacing w:after="160"/>
      </w:pPr>
      <w:r>
        <w:rPr>
          <w:rFonts w:ascii="Calibri" w:hAnsi="Calibri"/>
          <w:b w:val="0"/>
          <w:i/>
          <w:sz w:val="20"/>
        </w:rPr>
        <w:t>Table 6. Detailed Stacking metrics at the balanced-accuracy threshold (0.28). For screening, Active_probability ranking (AUC) is the primary quality metric.</w:t>
      </w:r>
    </w:p>
    <w:p>
      <w:pPr>
        <w:jc w:val="center"/>
      </w:pPr>
      <w:r>
        <w:drawing>
          <wp:inline xmlns:a="http://schemas.openxmlformats.org/drawingml/2006/main" xmlns:pic="http://schemas.openxmlformats.org/drawingml/2006/picture">
            <wp:extent cx="5120640" cy="1967404"/>
            <wp:docPr id="15" name="Picture 15"/>
            <wp:cNvGraphicFramePr>
              <a:graphicFrameLocks noChangeAspect="1"/>
            </wp:cNvGraphicFramePr>
            <a:graphic>
              <a:graphicData uri="http://schemas.openxmlformats.org/drawingml/2006/picture">
                <pic:pic>
                  <pic:nvPicPr>
                    <pic:cNvPr id="0" name="cls_00_model_comparison.png"/>
                    <pic:cNvPicPr/>
                  </pic:nvPicPr>
                  <pic:blipFill>
                    <a:blip r:embed="rId23"/>
                    <a:stretch>
                      <a:fillRect/>
                    </a:stretch>
                  </pic:blipFill>
                  <pic:spPr>
                    <a:xfrm>
                      <a:off x="0" y="0"/>
                      <a:ext cx="5120640" cy="1967404"/>
                    </a:xfrm>
                    <a:prstGeom prst="rect"/>
                  </pic:spPr>
                </pic:pic>
              </a:graphicData>
            </a:graphic>
          </wp:inline>
        </w:drawing>
      </w:r>
    </w:p>
    <w:p>
      <w:pPr>
        <w:spacing w:after="240"/>
        <w:jc w:val="center"/>
      </w:pPr>
      <w:r>
        <w:rPr>
          <w:rFonts w:ascii="Calibri" w:hAnsi="Calibri"/>
          <w:i/>
          <w:sz w:val="20"/>
        </w:rPr>
        <w:t>Figure 15. Classification model comparison.</w:t>
      </w:r>
    </w:p>
    <w:p>
      <w:pPr>
        <w:jc w:val="center"/>
      </w:pPr>
      <w:r>
        <w:drawing>
          <wp:inline xmlns:a="http://schemas.openxmlformats.org/drawingml/2006/main" xmlns:pic="http://schemas.openxmlformats.org/drawingml/2006/picture">
            <wp:extent cx="5120640" cy="1821766"/>
            <wp:docPr id="16" name="Picture 16"/>
            <wp:cNvGraphicFramePr>
              <a:graphicFrameLocks noChangeAspect="1"/>
            </wp:cNvGraphicFramePr>
            <a:graphic>
              <a:graphicData uri="http://schemas.openxmlformats.org/drawingml/2006/picture">
                <pic:pic>
                  <pic:nvPicPr>
                    <pic:cNvPr id="0" name="cls_01_class_distribution.png"/>
                    <pic:cNvPicPr/>
                  </pic:nvPicPr>
                  <pic:blipFill>
                    <a:blip r:embed="rId24"/>
                    <a:stretch>
                      <a:fillRect/>
                    </a:stretch>
                  </pic:blipFill>
                  <pic:spPr>
                    <a:xfrm>
                      <a:off x="0" y="0"/>
                      <a:ext cx="5120640" cy="1821766"/>
                    </a:xfrm>
                    <a:prstGeom prst="rect"/>
                  </pic:spPr>
                </pic:pic>
              </a:graphicData>
            </a:graphic>
          </wp:inline>
        </w:drawing>
      </w:r>
    </w:p>
    <w:p>
      <w:pPr>
        <w:spacing w:after="240"/>
        <w:jc w:val="center"/>
      </w:pPr>
      <w:r>
        <w:rPr>
          <w:rFonts w:ascii="Calibri" w:hAnsi="Calibri"/>
          <w:i/>
          <w:sz w:val="20"/>
        </w:rPr>
        <w:t>Figure 16. Active/Inactive distributions.</w:t>
      </w:r>
    </w:p>
    <w:p>
      <w:pPr>
        <w:jc w:val="center"/>
      </w:pPr>
      <w:r>
        <w:drawing>
          <wp:inline xmlns:a="http://schemas.openxmlformats.org/drawingml/2006/main" xmlns:pic="http://schemas.openxmlformats.org/drawingml/2006/picture">
            <wp:extent cx="5120640" cy="4374916"/>
            <wp:docPr id="17" name="Picture 17"/>
            <wp:cNvGraphicFramePr>
              <a:graphicFrameLocks noChangeAspect="1"/>
            </wp:cNvGraphicFramePr>
            <a:graphic>
              <a:graphicData uri="http://schemas.openxmlformats.org/drawingml/2006/picture">
                <pic:pic>
                  <pic:nvPicPr>
                    <pic:cNvPr id="0" name="cls_02_roc_curve.png"/>
                    <pic:cNvPicPr/>
                  </pic:nvPicPr>
                  <pic:blipFill>
                    <a:blip r:embed="rId25"/>
                    <a:stretch>
                      <a:fillRect/>
                    </a:stretch>
                  </pic:blipFill>
                  <pic:spPr>
                    <a:xfrm>
                      <a:off x="0" y="0"/>
                      <a:ext cx="5120640" cy="4374916"/>
                    </a:xfrm>
                    <a:prstGeom prst="rect"/>
                  </pic:spPr>
                </pic:pic>
              </a:graphicData>
            </a:graphic>
          </wp:inline>
        </w:drawing>
      </w:r>
    </w:p>
    <w:p>
      <w:pPr>
        <w:spacing w:after="240"/>
        <w:jc w:val="center"/>
      </w:pPr>
      <w:r>
        <w:rPr>
          <w:rFonts w:ascii="Calibri" w:hAnsi="Calibri"/>
          <w:i/>
          <w:sz w:val="20"/>
        </w:rPr>
        <w:t>Figure 17. ROC curves.</w:t>
      </w:r>
    </w:p>
    <w:p>
      <w:pPr>
        <w:jc w:val="center"/>
      </w:pPr>
      <w:r>
        <w:drawing>
          <wp:inline xmlns:a="http://schemas.openxmlformats.org/drawingml/2006/main" xmlns:pic="http://schemas.openxmlformats.org/drawingml/2006/picture">
            <wp:extent cx="5120640" cy="4374916"/>
            <wp:docPr id="18" name="Picture 18"/>
            <wp:cNvGraphicFramePr>
              <a:graphicFrameLocks noChangeAspect="1"/>
            </wp:cNvGraphicFramePr>
            <a:graphic>
              <a:graphicData uri="http://schemas.openxmlformats.org/drawingml/2006/picture">
                <pic:pic>
                  <pic:nvPicPr>
                    <pic:cNvPr id="0" name="cls_03_pr_curve.png"/>
                    <pic:cNvPicPr/>
                  </pic:nvPicPr>
                  <pic:blipFill>
                    <a:blip r:embed="rId26"/>
                    <a:stretch>
                      <a:fillRect/>
                    </a:stretch>
                  </pic:blipFill>
                  <pic:spPr>
                    <a:xfrm>
                      <a:off x="0" y="0"/>
                      <a:ext cx="5120640" cy="4374916"/>
                    </a:xfrm>
                    <a:prstGeom prst="rect"/>
                  </pic:spPr>
                </pic:pic>
              </a:graphicData>
            </a:graphic>
          </wp:inline>
        </w:drawing>
      </w:r>
    </w:p>
    <w:p>
      <w:pPr>
        <w:spacing w:after="240"/>
        <w:jc w:val="center"/>
      </w:pPr>
      <w:r>
        <w:rPr>
          <w:rFonts w:ascii="Calibri" w:hAnsi="Calibri"/>
          <w:i/>
          <w:sz w:val="20"/>
        </w:rPr>
        <w:t>Figure 18. Precision–Recall curves.</w:t>
      </w:r>
    </w:p>
    <w:p>
      <w:pPr>
        <w:jc w:val="center"/>
      </w:pPr>
      <w:r>
        <w:drawing>
          <wp:inline xmlns:a="http://schemas.openxmlformats.org/drawingml/2006/main" xmlns:pic="http://schemas.openxmlformats.org/drawingml/2006/picture">
            <wp:extent cx="5120640" cy="3268101"/>
            <wp:docPr id="19" name="Picture 19"/>
            <wp:cNvGraphicFramePr>
              <a:graphicFrameLocks noChangeAspect="1"/>
            </wp:cNvGraphicFramePr>
            <a:graphic>
              <a:graphicData uri="http://schemas.openxmlformats.org/drawingml/2006/picture">
                <pic:pic>
                  <pic:nvPicPr>
                    <pic:cNvPr id="0" name="cls_04_confusion_matrix.png"/>
                    <pic:cNvPicPr/>
                  </pic:nvPicPr>
                  <pic:blipFill>
                    <a:blip r:embed="rId27"/>
                    <a:stretch>
                      <a:fillRect/>
                    </a:stretch>
                  </pic:blipFill>
                  <pic:spPr>
                    <a:xfrm>
                      <a:off x="0" y="0"/>
                      <a:ext cx="5120640" cy="3268101"/>
                    </a:xfrm>
                    <a:prstGeom prst="rect"/>
                  </pic:spPr>
                </pic:pic>
              </a:graphicData>
            </a:graphic>
          </wp:inline>
        </w:drawing>
      </w:r>
    </w:p>
    <w:p>
      <w:pPr>
        <w:spacing w:after="240"/>
        <w:jc w:val="center"/>
      </w:pPr>
      <w:r>
        <w:rPr>
          <w:rFonts w:ascii="Calibri" w:hAnsi="Calibri"/>
          <w:i/>
          <w:sz w:val="20"/>
        </w:rPr>
        <w:t>Figure 19. Confusion matrices.</w:t>
      </w:r>
    </w:p>
    <w:p>
      <w:pPr>
        <w:jc w:val="center"/>
      </w:pPr>
      <w:r>
        <w:drawing>
          <wp:inline xmlns:a="http://schemas.openxmlformats.org/drawingml/2006/main" xmlns:pic="http://schemas.openxmlformats.org/drawingml/2006/picture">
            <wp:extent cx="5120640" cy="1254385"/>
            <wp:docPr id="20" name="Picture 20"/>
            <wp:cNvGraphicFramePr>
              <a:graphicFrameLocks noChangeAspect="1"/>
            </wp:cNvGraphicFramePr>
            <a:graphic>
              <a:graphicData uri="http://schemas.openxmlformats.org/drawingml/2006/picture">
                <pic:pic>
                  <pic:nvPicPr>
                    <pic:cNvPr id="0" name="cls_05_metrics_summary.png"/>
                    <pic:cNvPicPr/>
                  </pic:nvPicPr>
                  <pic:blipFill>
                    <a:blip r:embed="rId28"/>
                    <a:stretch>
                      <a:fillRect/>
                    </a:stretch>
                  </pic:blipFill>
                  <pic:spPr>
                    <a:xfrm>
                      <a:off x="0" y="0"/>
                      <a:ext cx="5120640" cy="1254385"/>
                    </a:xfrm>
                    <a:prstGeom prst="rect"/>
                  </pic:spPr>
                </pic:pic>
              </a:graphicData>
            </a:graphic>
          </wp:inline>
        </w:drawing>
      </w:r>
    </w:p>
    <w:p>
      <w:pPr>
        <w:spacing w:after="240"/>
        <w:jc w:val="center"/>
      </w:pPr>
      <w:r>
        <w:rPr>
          <w:rFonts w:ascii="Calibri" w:hAnsi="Calibri"/>
          <w:i/>
          <w:sz w:val="20"/>
        </w:rPr>
        <w:t>Figure 20. Classification metrics summary.</w:t>
      </w:r>
    </w:p>
    <w:p>
      <w:pPr>
        <w:jc w:val="center"/>
      </w:pPr>
      <w:r>
        <w:drawing>
          <wp:inline xmlns:a="http://schemas.openxmlformats.org/drawingml/2006/main" xmlns:pic="http://schemas.openxmlformats.org/drawingml/2006/picture">
            <wp:extent cx="5120640" cy="1155266"/>
            <wp:docPr id="21" name="Picture 21"/>
            <wp:cNvGraphicFramePr>
              <a:graphicFrameLocks noChangeAspect="1"/>
            </wp:cNvGraphicFramePr>
            <a:graphic>
              <a:graphicData uri="http://schemas.openxmlformats.org/drawingml/2006/picture">
                <pic:pic>
                  <pic:nvPicPr>
                    <pic:cNvPr id="0" name="cls_06_cv_performance.png"/>
                    <pic:cNvPicPr/>
                  </pic:nvPicPr>
                  <pic:blipFill>
                    <a:blip r:embed="rId29"/>
                    <a:stretch>
                      <a:fillRect/>
                    </a:stretch>
                  </pic:blipFill>
                  <pic:spPr>
                    <a:xfrm>
                      <a:off x="0" y="0"/>
                      <a:ext cx="5120640" cy="1155266"/>
                    </a:xfrm>
                    <a:prstGeom prst="rect"/>
                  </pic:spPr>
                </pic:pic>
              </a:graphicData>
            </a:graphic>
          </wp:inline>
        </w:drawing>
      </w:r>
    </w:p>
    <w:p>
      <w:pPr>
        <w:spacing w:after="240"/>
        <w:jc w:val="center"/>
      </w:pPr>
      <w:r>
        <w:rPr>
          <w:rFonts w:ascii="Calibri" w:hAnsi="Calibri"/>
          <w:i/>
          <w:sz w:val="20"/>
        </w:rPr>
        <w:t>Figure 21. Per-fold CV classification metrics.</w:t>
      </w:r>
    </w:p>
    <w:p>
      <w:pPr>
        <w:jc w:val="center"/>
      </w:pPr>
      <w:r>
        <w:drawing>
          <wp:inline xmlns:a="http://schemas.openxmlformats.org/drawingml/2006/main" xmlns:pic="http://schemas.openxmlformats.org/drawingml/2006/picture">
            <wp:extent cx="5120640" cy="1555371"/>
            <wp:docPr id="22" name="Picture 22"/>
            <wp:cNvGraphicFramePr>
              <a:graphicFrameLocks noChangeAspect="1"/>
            </wp:cNvGraphicFramePr>
            <a:graphic>
              <a:graphicData uri="http://schemas.openxmlformats.org/drawingml/2006/picture">
                <pic:pic>
                  <pic:nvPicPr>
                    <pic:cNvPr id="0" name="cls_07_embedding.png"/>
                    <pic:cNvPicPr/>
                  </pic:nvPicPr>
                  <pic:blipFill>
                    <a:blip r:embed="rId30"/>
                    <a:stretch>
                      <a:fillRect/>
                    </a:stretch>
                  </pic:blipFill>
                  <pic:spPr>
                    <a:xfrm>
                      <a:off x="0" y="0"/>
                      <a:ext cx="5120640" cy="1555371"/>
                    </a:xfrm>
                    <a:prstGeom prst="rect"/>
                  </pic:spPr>
                </pic:pic>
              </a:graphicData>
            </a:graphic>
          </wp:inline>
        </w:drawing>
      </w:r>
    </w:p>
    <w:p>
      <w:pPr>
        <w:spacing w:after="240"/>
        <w:jc w:val="center"/>
      </w:pPr>
      <w:r>
        <w:rPr>
          <w:rFonts w:ascii="Calibri" w:hAnsi="Calibri"/>
          <w:i/>
          <w:sz w:val="20"/>
        </w:rPr>
        <w:t>Figure 22. Chemical-space embeddings (classification).</w:t>
      </w:r>
    </w:p>
    <w:p>
      <w:pPr>
        <w:jc w:val="center"/>
      </w:pPr>
      <w:r>
        <w:drawing>
          <wp:inline xmlns:a="http://schemas.openxmlformats.org/drawingml/2006/main" xmlns:pic="http://schemas.openxmlformats.org/drawingml/2006/picture">
            <wp:extent cx="5120640" cy="4319825"/>
            <wp:docPr id="23" name="Picture 23"/>
            <wp:cNvGraphicFramePr>
              <a:graphicFrameLocks noChangeAspect="1"/>
            </wp:cNvGraphicFramePr>
            <a:graphic>
              <a:graphicData uri="http://schemas.openxmlformats.org/drawingml/2006/picture">
                <pic:pic>
                  <pic:nvPicPr>
                    <pic:cNvPr id="0" name="cls_08_shap_summary.png"/>
                    <pic:cNvPicPr/>
                  </pic:nvPicPr>
                  <pic:blipFill>
                    <a:blip r:embed="rId31"/>
                    <a:stretch>
                      <a:fillRect/>
                    </a:stretch>
                  </pic:blipFill>
                  <pic:spPr>
                    <a:xfrm>
                      <a:off x="0" y="0"/>
                      <a:ext cx="5120640" cy="4319825"/>
                    </a:xfrm>
                    <a:prstGeom prst="rect"/>
                  </pic:spPr>
                </pic:pic>
              </a:graphicData>
            </a:graphic>
          </wp:inline>
        </w:drawing>
      </w:r>
    </w:p>
    <w:p>
      <w:pPr>
        <w:spacing w:after="240"/>
        <w:jc w:val="center"/>
      </w:pPr>
      <w:r>
        <w:rPr>
          <w:rFonts w:ascii="Calibri" w:hAnsi="Calibri"/>
          <w:i/>
          <w:sz w:val="20"/>
        </w:rPr>
        <w:t>Figure 23. Classification SHAP summary.</w:t>
      </w:r>
    </w:p>
    <w:p>
      <w:pPr>
        <w:jc w:val="center"/>
      </w:pPr>
      <w:r>
        <w:drawing>
          <wp:inline xmlns:a="http://schemas.openxmlformats.org/drawingml/2006/main" xmlns:pic="http://schemas.openxmlformats.org/drawingml/2006/picture">
            <wp:extent cx="5120640" cy="3965608"/>
            <wp:docPr id="24" name="Picture 24"/>
            <wp:cNvGraphicFramePr>
              <a:graphicFrameLocks noChangeAspect="1"/>
            </wp:cNvGraphicFramePr>
            <a:graphic>
              <a:graphicData uri="http://schemas.openxmlformats.org/drawingml/2006/picture">
                <pic:pic>
                  <pic:nvPicPr>
                    <pic:cNvPr id="0" name="cls_09_feature_importance.png"/>
                    <pic:cNvPicPr/>
                  </pic:nvPicPr>
                  <pic:blipFill>
                    <a:blip r:embed="rId32"/>
                    <a:stretch>
                      <a:fillRect/>
                    </a:stretch>
                  </pic:blipFill>
                  <pic:spPr>
                    <a:xfrm>
                      <a:off x="0" y="0"/>
                      <a:ext cx="5120640" cy="3965608"/>
                    </a:xfrm>
                    <a:prstGeom prst="rect"/>
                  </pic:spPr>
                </pic:pic>
              </a:graphicData>
            </a:graphic>
          </wp:inline>
        </w:drawing>
      </w:r>
    </w:p>
    <w:p>
      <w:pPr>
        <w:spacing w:after="240"/>
        <w:jc w:val="center"/>
      </w:pPr>
      <w:r>
        <w:rPr>
          <w:rFonts w:ascii="Calibri" w:hAnsi="Calibri"/>
          <w:i/>
          <w:sz w:val="20"/>
        </w:rPr>
        <w:t>Figure 24. Classification feature importance.</w:t>
      </w:r>
    </w:p>
    <w:p>
      <w:pPr>
        <w:jc w:val="center"/>
      </w:pPr>
      <w:r>
        <w:drawing>
          <wp:inline xmlns:a="http://schemas.openxmlformats.org/drawingml/2006/main" xmlns:pic="http://schemas.openxmlformats.org/drawingml/2006/picture">
            <wp:extent cx="5120640" cy="1955823"/>
            <wp:docPr id="25" name="Picture 25"/>
            <wp:cNvGraphicFramePr>
              <a:graphicFrameLocks noChangeAspect="1"/>
            </wp:cNvGraphicFramePr>
            <a:graphic>
              <a:graphicData uri="http://schemas.openxmlformats.org/drawingml/2006/picture">
                <pic:pic>
                  <pic:nvPicPr>
                    <pic:cNvPr id="0" name="cls_10_shap_dependence.png"/>
                    <pic:cNvPicPr/>
                  </pic:nvPicPr>
                  <pic:blipFill>
                    <a:blip r:embed="rId33"/>
                    <a:stretch>
                      <a:fillRect/>
                    </a:stretch>
                  </pic:blipFill>
                  <pic:spPr>
                    <a:xfrm>
                      <a:off x="0" y="0"/>
                      <a:ext cx="5120640" cy="1955823"/>
                    </a:xfrm>
                    <a:prstGeom prst="rect"/>
                  </pic:spPr>
                </pic:pic>
              </a:graphicData>
            </a:graphic>
          </wp:inline>
        </w:drawing>
      </w:r>
    </w:p>
    <w:p>
      <w:pPr>
        <w:spacing w:after="240"/>
        <w:jc w:val="center"/>
      </w:pPr>
      <w:r>
        <w:rPr>
          <w:rFonts w:ascii="Calibri" w:hAnsi="Calibri"/>
          <w:i/>
          <w:sz w:val="20"/>
        </w:rPr>
        <w:t>Figure 25. Classification SHAP dependence.</w:t>
      </w:r>
    </w:p>
    <w:p>
      <w:pPr>
        <w:jc w:val="center"/>
      </w:pPr>
      <w:r>
        <w:drawing>
          <wp:inline xmlns:a="http://schemas.openxmlformats.org/drawingml/2006/main" xmlns:pic="http://schemas.openxmlformats.org/drawingml/2006/picture">
            <wp:extent cx="5120640" cy="3167854"/>
            <wp:docPr id="26" name="Picture 26"/>
            <wp:cNvGraphicFramePr>
              <a:graphicFrameLocks noChangeAspect="1"/>
            </wp:cNvGraphicFramePr>
            <a:graphic>
              <a:graphicData uri="http://schemas.openxmlformats.org/drawingml/2006/picture">
                <pic:pic>
                  <pic:nvPicPr>
                    <pic:cNvPr id="0" name="cls_11_y_randomization.png"/>
                    <pic:cNvPicPr/>
                  </pic:nvPicPr>
                  <pic:blipFill>
                    <a:blip r:embed="rId34"/>
                    <a:stretch>
                      <a:fillRect/>
                    </a:stretch>
                  </pic:blipFill>
                  <pic:spPr>
                    <a:xfrm>
                      <a:off x="0" y="0"/>
                      <a:ext cx="5120640" cy="3167854"/>
                    </a:xfrm>
                    <a:prstGeom prst="rect"/>
                  </pic:spPr>
                </pic:pic>
              </a:graphicData>
            </a:graphic>
          </wp:inline>
        </w:drawing>
      </w:r>
    </w:p>
    <w:p>
      <w:pPr>
        <w:spacing w:after="240"/>
        <w:jc w:val="center"/>
      </w:pPr>
      <w:r>
        <w:rPr>
          <w:rFonts w:ascii="Calibri" w:hAnsi="Calibri"/>
          <w:i/>
          <w:sz w:val="20"/>
        </w:rPr>
        <w:t>Figure 26. Y-randomization (classification).</w:t>
      </w:r>
    </w:p>
    <w:p>
      <w:pPr>
        <w:jc w:val="center"/>
      </w:pPr>
      <w:r>
        <w:drawing>
          <wp:inline xmlns:a="http://schemas.openxmlformats.org/drawingml/2006/main" xmlns:pic="http://schemas.openxmlformats.org/drawingml/2006/picture">
            <wp:extent cx="5120640" cy="1967404"/>
            <wp:docPr id="27" name="Picture 27"/>
            <wp:cNvGraphicFramePr>
              <a:graphicFrameLocks noChangeAspect="1"/>
            </wp:cNvGraphicFramePr>
            <a:graphic>
              <a:graphicData uri="http://schemas.openxmlformats.org/drawingml/2006/picture">
                <pic:pic>
                  <pic:nvPicPr>
                    <pic:cNvPr id="0" name="cls_12_f1_comparison.png"/>
                    <pic:cNvPicPr/>
                  </pic:nvPicPr>
                  <pic:blipFill>
                    <a:blip r:embed="rId35"/>
                    <a:stretch>
                      <a:fillRect/>
                    </a:stretch>
                  </pic:blipFill>
                  <pic:spPr>
                    <a:xfrm>
                      <a:off x="0" y="0"/>
                      <a:ext cx="5120640" cy="1967404"/>
                    </a:xfrm>
                    <a:prstGeom prst="rect"/>
                  </pic:spPr>
                </pic:pic>
              </a:graphicData>
            </a:graphic>
          </wp:inline>
        </w:drawing>
      </w:r>
    </w:p>
    <w:p>
      <w:pPr>
        <w:spacing w:after="240"/>
        <w:jc w:val="center"/>
      </w:pPr>
      <w:r>
        <w:rPr>
          <w:rFonts w:ascii="Calibri" w:hAnsi="Calibri"/>
          <w:i/>
          <w:sz w:val="20"/>
        </w:rPr>
        <w:t>Figure 27. F1 comparison across classifiers.</w:t>
      </w:r>
    </w:p>
    <w:p>
      <w:pPr>
        <w:jc w:val="center"/>
      </w:pPr>
      <w:r>
        <w:drawing>
          <wp:inline xmlns:a="http://schemas.openxmlformats.org/drawingml/2006/main" xmlns:pic="http://schemas.openxmlformats.org/drawingml/2006/picture">
            <wp:extent cx="5120640" cy="3712974"/>
            <wp:docPr id="28" name="Picture 28"/>
            <wp:cNvGraphicFramePr>
              <a:graphicFrameLocks noChangeAspect="1"/>
            </wp:cNvGraphicFramePr>
            <a:graphic>
              <a:graphicData uri="http://schemas.openxmlformats.org/drawingml/2006/picture">
                <pic:pic>
                  <pic:nvPicPr>
                    <pic:cNvPr id="0" name="cls_13_williams_plot.png"/>
                    <pic:cNvPicPr/>
                  </pic:nvPicPr>
                  <pic:blipFill>
                    <a:blip r:embed="rId36"/>
                    <a:stretch>
                      <a:fillRect/>
                    </a:stretch>
                  </pic:blipFill>
                  <pic:spPr>
                    <a:xfrm>
                      <a:off x="0" y="0"/>
                      <a:ext cx="5120640" cy="3712974"/>
                    </a:xfrm>
                    <a:prstGeom prst="rect"/>
                  </pic:spPr>
                </pic:pic>
              </a:graphicData>
            </a:graphic>
          </wp:inline>
        </w:drawing>
      </w:r>
    </w:p>
    <w:p>
      <w:pPr>
        <w:spacing w:after="240"/>
        <w:jc w:val="center"/>
      </w:pPr>
      <w:r>
        <w:rPr>
          <w:rFonts w:ascii="Calibri" w:hAnsi="Calibri"/>
          <w:i/>
          <w:sz w:val="20"/>
        </w:rPr>
        <w:t>Figure 28. Williams plot (classification AD) with Train, Test, and External; legend shows in-AD %.</w:t>
      </w:r>
    </w:p>
    <w:p>
      <w:pPr>
        <w:pStyle w:val="Heading2"/>
      </w:pPr>
      <w:r>
        <w:t>3.5 Applicability domain coverage</w:t>
      </w:r>
    </w:p>
    <w:p>
      <w:pPr>
        <w:spacing w:after="160"/>
      </w:pPr>
      <w:r>
        <w:rPr>
          <w:rFonts w:ascii="Calibri" w:hAnsi="Calibri"/>
          <w:b w:val="0"/>
          <w:i w:val="0"/>
          <w:sz w:val="22"/>
        </w:rPr>
        <w:t>Williams AD was evaluated for Train, Test, External, and four screening libraries. Labeled sets used leverage plus residual; unlabeled libraries used leverage only. Regression feature-space h* = 0.010; classification h* = 0.013.</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fill="1F4E79" w:val="clear"/>
          </w:tcPr>
          <w:p>
            <w:r>
              <w:rPr>
                <w:b/>
                <w:color w:val="FFFFFF"/>
                <w:sz w:val="18"/>
              </w:rPr>
              <w:t>Dataset</w:t>
            </w:r>
          </w:p>
        </w:tc>
        <w:tc>
          <w:tcPr>
            <w:tcW w:type="dxa" w:w="1624"/>
            <w:shd w:fill="1F4E79" w:val="clear"/>
          </w:tcPr>
          <w:p>
            <w:r>
              <w:rPr>
                <w:b/>
                <w:color w:val="FFFFFF"/>
                <w:sz w:val="18"/>
              </w:rPr>
              <w:t>n valid</w:t>
            </w:r>
          </w:p>
        </w:tc>
        <w:tc>
          <w:tcPr>
            <w:tcW w:type="dxa" w:w="1624"/>
            <w:shd w:fill="1F4E79" w:val="clear"/>
          </w:tcPr>
          <w:p>
            <w:r>
              <w:rPr>
                <w:b/>
                <w:color w:val="FFFFFF"/>
                <w:sz w:val="18"/>
              </w:rPr>
              <w:t>Reg. in-AD %</w:t>
            </w:r>
          </w:p>
        </w:tc>
        <w:tc>
          <w:tcPr>
            <w:tcW w:type="dxa" w:w="1624"/>
            <w:shd w:fill="1F4E79" w:val="clear"/>
          </w:tcPr>
          <w:p>
            <w:r>
              <w:rPr>
                <w:b/>
                <w:color w:val="FFFFFF"/>
                <w:sz w:val="18"/>
              </w:rPr>
              <w:t>Reg. criterion</w:t>
            </w:r>
          </w:p>
        </w:tc>
        <w:tc>
          <w:tcPr>
            <w:tcW w:type="dxa" w:w="1624"/>
            <w:shd w:fill="1F4E79" w:val="clear"/>
          </w:tcPr>
          <w:p>
            <w:r>
              <w:rPr>
                <w:b/>
                <w:color w:val="FFFFFF"/>
                <w:sz w:val="18"/>
              </w:rPr>
              <w:t>Cls. in-AD %</w:t>
            </w:r>
          </w:p>
        </w:tc>
        <w:tc>
          <w:tcPr>
            <w:tcW w:type="dxa" w:w="1624"/>
            <w:shd w:fill="1F4E79" w:val="clear"/>
          </w:tcPr>
          <w:p>
            <w:r>
              <w:rPr>
                <w:b/>
                <w:color w:val="FFFFFF"/>
                <w:sz w:val="18"/>
              </w:rPr>
              <w:t>Cls. criterion</w:t>
            </w:r>
          </w:p>
        </w:tc>
      </w:tr>
      <w:tr>
        <w:tc>
          <w:tcPr>
            <w:tcW w:type="dxa" w:w="1624"/>
          </w:tcPr>
          <w:p>
            <w:r>
              <w:rPr>
                <w:sz w:val="18"/>
              </w:rPr>
              <w:t>Train</w:t>
            </w:r>
          </w:p>
        </w:tc>
        <w:tc>
          <w:tcPr>
            <w:tcW w:type="dxa" w:w="1624"/>
          </w:tcPr>
          <w:p>
            <w:r>
              <w:rPr>
                <w:sz w:val="18"/>
              </w:rPr>
              <w:t>15,346 / 12,177*</w:t>
            </w:r>
          </w:p>
        </w:tc>
        <w:tc>
          <w:tcPr>
            <w:tcW w:type="dxa" w:w="1624"/>
          </w:tcPr>
          <w:p>
            <w:r>
              <w:rPr>
                <w:sz w:val="18"/>
              </w:rPr>
              <w:t>98.2</w:t>
            </w:r>
          </w:p>
        </w:tc>
        <w:tc>
          <w:tcPr>
            <w:tcW w:type="dxa" w:w="1624"/>
          </w:tcPr>
          <w:p>
            <w:r>
              <w:rPr>
                <w:sz w:val="18"/>
              </w:rPr>
              <w:t>leverage+residual</w:t>
            </w:r>
          </w:p>
        </w:tc>
        <w:tc>
          <w:tcPr>
            <w:tcW w:type="dxa" w:w="1624"/>
          </w:tcPr>
          <w:p>
            <w:r>
              <w:rPr>
                <w:sz w:val="18"/>
              </w:rPr>
              <w:t>95.5</w:t>
            </w:r>
          </w:p>
        </w:tc>
        <w:tc>
          <w:tcPr>
            <w:tcW w:type="dxa" w:w="1624"/>
          </w:tcPr>
          <w:p>
            <w:r>
              <w:rPr>
                <w:sz w:val="18"/>
              </w:rPr>
              <w:t>leverage+residual</w:t>
            </w:r>
          </w:p>
        </w:tc>
      </w:tr>
      <w:tr>
        <w:tc>
          <w:tcPr>
            <w:tcW w:type="dxa" w:w="1624"/>
            <w:shd w:fill="F2F2F2" w:val="clear"/>
          </w:tcPr>
          <w:p>
            <w:r>
              <w:rPr>
                <w:sz w:val="18"/>
              </w:rPr>
              <w:t>Test</w:t>
            </w:r>
          </w:p>
        </w:tc>
        <w:tc>
          <w:tcPr>
            <w:tcW w:type="dxa" w:w="1624"/>
            <w:shd w:fill="F2F2F2" w:val="clear"/>
          </w:tcPr>
          <w:p>
            <w:r>
              <w:rPr>
                <w:sz w:val="18"/>
              </w:rPr>
              <w:t>3,837</w:t>
            </w:r>
          </w:p>
        </w:tc>
        <w:tc>
          <w:tcPr>
            <w:tcW w:type="dxa" w:w="1624"/>
            <w:shd w:fill="F2F2F2" w:val="clear"/>
          </w:tcPr>
          <w:p>
            <w:r>
              <w:rPr>
                <w:sz w:val="18"/>
              </w:rPr>
              <w:t>78.8</w:t>
            </w:r>
          </w:p>
        </w:tc>
        <w:tc>
          <w:tcPr>
            <w:tcW w:type="dxa" w:w="1624"/>
            <w:shd w:fill="F2F2F2" w:val="clear"/>
          </w:tcPr>
          <w:p>
            <w:r>
              <w:rPr>
                <w:sz w:val="18"/>
              </w:rPr>
              <w:t>leverage+residual</w:t>
            </w:r>
          </w:p>
        </w:tc>
        <w:tc>
          <w:tcPr>
            <w:tcW w:type="dxa" w:w="1624"/>
            <w:shd w:fill="F2F2F2" w:val="clear"/>
          </w:tcPr>
          <w:p>
            <w:r>
              <w:rPr>
                <w:sz w:val="18"/>
              </w:rPr>
              <w:t>83.7</w:t>
            </w:r>
          </w:p>
        </w:tc>
        <w:tc>
          <w:tcPr>
            <w:tcW w:type="dxa" w:w="1624"/>
            <w:shd w:fill="F2F2F2" w:val="clear"/>
          </w:tcPr>
          <w:p>
            <w:r>
              <w:rPr>
                <w:sz w:val="18"/>
              </w:rPr>
              <w:t>leverage+residual</w:t>
            </w:r>
          </w:p>
        </w:tc>
      </w:tr>
      <w:tr>
        <w:tc>
          <w:tcPr>
            <w:tcW w:type="dxa" w:w="1624"/>
          </w:tcPr>
          <w:p>
            <w:r>
              <w:rPr>
                <w:sz w:val="18"/>
              </w:rPr>
              <w:t>External</w:t>
            </w:r>
          </w:p>
        </w:tc>
        <w:tc>
          <w:tcPr>
            <w:tcW w:type="dxa" w:w="1624"/>
          </w:tcPr>
          <w:p>
            <w:r>
              <w:rPr>
                <w:sz w:val="18"/>
              </w:rPr>
              <w:t>92</w:t>
            </w:r>
          </w:p>
        </w:tc>
        <w:tc>
          <w:tcPr>
            <w:tcW w:type="dxa" w:w="1624"/>
          </w:tcPr>
          <w:p>
            <w:r>
              <w:rPr>
                <w:sz w:val="18"/>
              </w:rPr>
              <w:t>91.3</w:t>
            </w:r>
          </w:p>
        </w:tc>
        <w:tc>
          <w:tcPr>
            <w:tcW w:type="dxa" w:w="1624"/>
          </w:tcPr>
          <w:p>
            <w:r>
              <w:rPr>
                <w:sz w:val="18"/>
              </w:rPr>
              <w:t>leverage+residual</w:t>
            </w:r>
          </w:p>
        </w:tc>
        <w:tc>
          <w:tcPr>
            <w:tcW w:type="dxa" w:w="1624"/>
          </w:tcPr>
          <w:p>
            <w:r>
              <w:rPr>
                <w:sz w:val="18"/>
              </w:rPr>
              <w:t>78.3</w:t>
            </w:r>
          </w:p>
        </w:tc>
        <w:tc>
          <w:tcPr>
            <w:tcW w:type="dxa" w:w="1624"/>
          </w:tcPr>
          <w:p>
            <w:r>
              <w:rPr>
                <w:sz w:val="18"/>
              </w:rPr>
              <w:t>leverage+residual</w:t>
            </w:r>
          </w:p>
        </w:tc>
      </w:tr>
      <w:tr>
        <w:tc>
          <w:tcPr>
            <w:tcW w:type="dxa" w:w="1624"/>
            <w:shd w:fill="F2F2F2" w:val="clear"/>
          </w:tcPr>
          <w:p>
            <w:r>
              <w:rPr>
                <w:sz w:val="18"/>
              </w:rPr>
              <w:t>Approved</w:t>
            </w:r>
          </w:p>
        </w:tc>
        <w:tc>
          <w:tcPr>
            <w:tcW w:type="dxa" w:w="1624"/>
            <w:shd w:fill="F2F2F2" w:val="clear"/>
          </w:tcPr>
          <w:p>
            <w:r>
              <w:rPr>
                <w:sz w:val="18"/>
              </w:rPr>
              <w:t>14,596</w:t>
            </w:r>
          </w:p>
        </w:tc>
        <w:tc>
          <w:tcPr>
            <w:tcW w:type="dxa" w:w="1624"/>
            <w:shd w:fill="F2F2F2" w:val="clear"/>
          </w:tcPr>
          <w:p>
            <w:r>
              <w:rPr>
                <w:sz w:val="18"/>
              </w:rPr>
              <w:t>98.7</w:t>
            </w:r>
          </w:p>
        </w:tc>
        <w:tc>
          <w:tcPr>
            <w:tcW w:type="dxa" w:w="1624"/>
            <w:shd w:fill="F2F2F2" w:val="clear"/>
          </w:tcPr>
          <w:p>
            <w:r>
              <w:rPr>
                <w:sz w:val="18"/>
              </w:rPr>
              <w:t>leverage</w:t>
            </w:r>
          </w:p>
        </w:tc>
        <w:tc>
          <w:tcPr>
            <w:tcW w:type="dxa" w:w="1624"/>
            <w:shd w:fill="F2F2F2" w:val="clear"/>
          </w:tcPr>
          <w:p>
            <w:r>
              <w:rPr>
                <w:sz w:val="18"/>
              </w:rPr>
              <w:t>95.2</w:t>
            </w:r>
          </w:p>
        </w:tc>
        <w:tc>
          <w:tcPr>
            <w:tcW w:type="dxa" w:w="1624"/>
            <w:shd w:fill="F2F2F2" w:val="clear"/>
          </w:tcPr>
          <w:p>
            <w:r>
              <w:rPr>
                <w:sz w:val="18"/>
              </w:rPr>
              <w:t>leverage</w:t>
            </w:r>
          </w:p>
        </w:tc>
      </w:tr>
      <w:tr>
        <w:tc>
          <w:tcPr>
            <w:tcW w:type="dxa" w:w="1624"/>
          </w:tcPr>
          <w:p>
            <w:r>
              <w:rPr>
                <w:sz w:val="18"/>
              </w:rPr>
              <w:t>4FDN</w:t>
            </w:r>
          </w:p>
        </w:tc>
        <w:tc>
          <w:tcPr>
            <w:tcW w:type="dxa" w:w="1624"/>
          </w:tcPr>
          <w:p>
            <w:r>
              <w:rPr>
                <w:sz w:val="18"/>
              </w:rPr>
              <w:t>799</w:t>
            </w:r>
          </w:p>
        </w:tc>
        <w:tc>
          <w:tcPr>
            <w:tcW w:type="dxa" w:w="1624"/>
          </w:tcPr>
          <w:p>
            <w:r>
              <w:rPr>
                <w:sz w:val="18"/>
              </w:rPr>
              <w:t>100.0</w:t>
            </w:r>
          </w:p>
        </w:tc>
        <w:tc>
          <w:tcPr>
            <w:tcW w:type="dxa" w:w="1624"/>
          </w:tcPr>
          <w:p>
            <w:r>
              <w:rPr>
                <w:sz w:val="18"/>
              </w:rPr>
              <w:t>leverage</w:t>
            </w:r>
          </w:p>
        </w:tc>
        <w:tc>
          <w:tcPr>
            <w:tcW w:type="dxa" w:w="1624"/>
          </w:tcPr>
          <w:p>
            <w:r>
              <w:rPr>
                <w:sz w:val="18"/>
              </w:rPr>
              <w:t>99.8</w:t>
            </w:r>
          </w:p>
        </w:tc>
        <w:tc>
          <w:tcPr>
            <w:tcW w:type="dxa" w:w="1624"/>
          </w:tcPr>
          <w:p>
            <w:r>
              <w:rPr>
                <w:sz w:val="18"/>
              </w:rPr>
              <w:t>leverage</w:t>
            </w:r>
          </w:p>
        </w:tc>
      </w:tr>
      <w:tr>
        <w:tc>
          <w:tcPr>
            <w:tcW w:type="dxa" w:w="1624"/>
            <w:shd w:fill="F2F2F2" w:val="clear"/>
          </w:tcPr>
          <w:p>
            <w:r>
              <w:rPr>
                <w:sz w:val="18"/>
              </w:rPr>
              <w:t>CyanoMetDB</w:t>
            </w:r>
          </w:p>
        </w:tc>
        <w:tc>
          <w:tcPr>
            <w:tcW w:type="dxa" w:w="1624"/>
            <w:shd w:fill="F2F2F2" w:val="clear"/>
          </w:tcPr>
          <w:p>
            <w:r>
              <w:rPr>
                <w:sz w:val="18"/>
              </w:rPr>
              <w:t>3,026</w:t>
            </w:r>
          </w:p>
        </w:tc>
        <w:tc>
          <w:tcPr>
            <w:tcW w:type="dxa" w:w="1624"/>
            <w:shd w:fill="F2F2F2" w:val="clear"/>
          </w:tcPr>
          <w:p>
            <w:r>
              <w:rPr>
                <w:sz w:val="18"/>
              </w:rPr>
              <w:t>96.5</w:t>
            </w:r>
          </w:p>
        </w:tc>
        <w:tc>
          <w:tcPr>
            <w:tcW w:type="dxa" w:w="1624"/>
            <w:shd w:fill="F2F2F2" w:val="clear"/>
          </w:tcPr>
          <w:p>
            <w:r>
              <w:rPr>
                <w:sz w:val="18"/>
              </w:rPr>
              <w:t>leverage</w:t>
            </w:r>
          </w:p>
        </w:tc>
        <w:tc>
          <w:tcPr>
            <w:tcW w:type="dxa" w:w="1624"/>
            <w:shd w:fill="F2F2F2" w:val="clear"/>
          </w:tcPr>
          <w:p>
            <w:r>
              <w:rPr>
                <w:sz w:val="18"/>
              </w:rPr>
              <w:t>94.8</w:t>
            </w:r>
          </w:p>
        </w:tc>
        <w:tc>
          <w:tcPr>
            <w:tcW w:type="dxa" w:w="1624"/>
            <w:shd w:fill="F2F2F2" w:val="clear"/>
          </w:tcPr>
          <w:p>
            <w:r>
              <w:rPr>
                <w:sz w:val="18"/>
              </w:rPr>
              <w:t>leverage</w:t>
            </w:r>
          </w:p>
        </w:tc>
      </w:tr>
      <w:tr>
        <w:tc>
          <w:tcPr>
            <w:tcW w:type="dxa" w:w="1624"/>
          </w:tcPr>
          <w:p>
            <w:r>
              <w:rPr>
                <w:sz w:val="18"/>
              </w:rPr>
              <w:t>COCONUT</w:t>
            </w:r>
          </w:p>
        </w:tc>
        <w:tc>
          <w:tcPr>
            <w:tcW w:type="dxa" w:w="1624"/>
          </w:tcPr>
          <w:p>
            <w:r>
              <w:rPr>
                <w:sz w:val="18"/>
              </w:rPr>
              <w:t>738,820</w:t>
            </w:r>
          </w:p>
        </w:tc>
        <w:tc>
          <w:tcPr>
            <w:tcW w:type="dxa" w:w="1624"/>
          </w:tcPr>
          <w:p>
            <w:r>
              <w:rPr>
                <w:sz w:val="18"/>
              </w:rPr>
              <w:t>98.6</w:t>
            </w:r>
          </w:p>
        </w:tc>
        <w:tc>
          <w:tcPr>
            <w:tcW w:type="dxa" w:w="1624"/>
          </w:tcPr>
          <w:p>
            <w:r>
              <w:rPr>
                <w:sz w:val="18"/>
              </w:rPr>
              <w:t>leverage</w:t>
            </w:r>
          </w:p>
        </w:tc>
        <w:tc>
          <w:tcPr>
            <w:tcW w:type="dxa" w:w="1624"/>
          </w:tcPr>
          <w:p>
            <w:r>
              <w:rPr>
                <w:sz w:val="18"/>
              </w:rPr>
              <w:t>92.5</w:t>
            </w:r>
          </w:p>
        </w:tc>
        <w:tc>
          <w:tcPr>
            <w:tcW w:type="dxa" w:w="1624"/>
          </w:tcPr>
          <w:p>
            <w:r>
              <w:rPr>
                <w:sz w:val="18"/>
              </w:rPr>
              <w:t>leverage</w:t>
            </w:r>
          </w:p>
        </w:tc>
      </w:tr>
    </w:tbl>
    <w:p/>
    <w:p>
      <w:pPr>
        <w:spacing w:after="160"/>
      </w:pPr>
      <w:r>
        <w:rPr>
          <w:rFonts w:ascii="Calibri" w:hAnsi="Calibri"/>
          <w:b w:val="0"/>
          <w:i/>
          <w:sz w:val="20"/>
        </w:rPr>
        <w:t>Table 7. Percent of molecules inside the applicability domain. *Classification train n is after gray-zone exclusion. Full numbers are in ad_coverage_summary.csv.</w:t>
      </w:r>
    </w:p>
    <w:p>
      <w:pPr>
        <w:spacing w:after="160"/>
      </w:pPr>
      <w:r>
        <w:rPr>
          <w:rFonts w:ascii="Calibri" w:hAnsi="Calibri"/>
          <w:b w:val="0"/>
          <w:i w:val="0"/>
          <w:sz w:val="22"/>
        </w:rPr>
        <w:t>Most screening compounds lie inside the leverage AD of the unique-molecule training set. Test coverage is lower than train (78.8% regression / 83.7% classification), as expected for a Butina split that holds out dissimilar clusters. External coverage is high in regression space (91.3%) and moderate in classification space (78.3%).</w:t>
      </w:r>
    </w:p>
    <w:p>
      <w:pPr>
        <w:jc w:val="center"/>
      </w:pPr>
      <w:r>
        <w:drawing>
          <wp:inline xmlns:a="http://schemas.openxmlformats.org/drawingml/2006/main" xmlns:pic="http://schemas.openxmlformats.org/drawingml/2006/picture">
            <wp:extent cx="5120640" cy="2291524"/>
            <wp:docPr id="29" name="Picture 29"/>
            <wp:cNvGraphicFramePr>
              <a:graphicFrameLocks noChangeAspect="1"/>
            </wp:cNvGraphicFramePr>
            <a:graphic>
              <a:graphicData uri="http://schemas.openxmlformats.org/drawingml/2006/picture">
                <pic:pic>
                  <pic:nvPicPr>
                    <pic:cNvPr id="0" name="ad_dataset_coverage.png"/>
                    <pic:cNvPicPr/>
                  </pic:nvPicPr>
                  <pic:blipFill>
                    <a:blip r:embed="rId37"/>
                    <a:stretch>
                      <a:fillRect/>
                    </a:stretch>
                  </pic:blipFill>
                  <pic:spPr>
                    <a:xfrm>
                      <a:off x="0" y="0"/>
                      <a:ext cx="5120640" cy="2291524"/>
                    </a:xfrm>
                    <a:prstGeom prst="rect"/>
                  </pic:spPr>
                </pic:pic>
              </a:graphicData>
            </a:graphic>
          </wp:inline>
        </w:drawing>
      </w:r>
    </w:p>
    <w:p>
      <w:pPr>
        <w:spacing w:after="240"/>
        <w:jc w:val="center"/>
      </w:pPr>
      <w:r>
        <w:rPr>
          <w:rFonts w:ascii="Calibri" w:hAnsi="Calibri"/>
          <w:i/>
          <w:sz w:val="20"/>
        </w:rPr>
        <w:t>Figure 29. Regression AD: Williams scatter (Train/Test/External) and % in-AD bars for all datasets including COCONUT.</w:t>
      </w:r>
    </w:p>
    <w:p>
      <w:pPr>
        <w:jc w:val="center"/>
      </w:pPr>
      <w:r>
        <w:drawing>
          <wp:inline xmlns:a="http://schemas.openxmlformats.org/drawingml/2006/main" xmlns:pic="http://schemas.openxmlformats.org/drawingml/2006/picture">
            <wp:extent cx="5120640" cy="2291524"/>
            <wp:docPr id="30" name="Picture 30"/>
            <wp:cNvGraphicFramePr>
              <a:graphicFrameLocks noChangeAspect="1"/>
            </wp:cNvGraphicFramePr>
            <a:graphic>
              <a:graphicData uri="http://schemas.openxmlformats.org/drawingml/2006/picture">
                <pic:pic>
                  <pic:nvPicPr>
                    <pic:cNvPr id="0" name="cls_ad_dataset_coverage.png"/>
                    <pic:cNvPicPr/>
                  </pic:nvPicPr>
                  <pic:blipFill>
                    <a:blip r:embed="rId38"/>
                    <a:stretch>
                      <a:fillRect/>
                    </a:stretch>
                  </pic:blipFill>
                  <pic:spPr>
                    <a:xfrm>
                      <a:off x="0" y="0"/>
                      <a:ext cx="5120640" cy="2291524"/>
                    </a:xfrm>
                    <a:prstGeom prst="rect"/>
                  </pic:spPr>
                </pic:pic>
              </a:graphicData>
            </a:graphic>
          </wp:inline>
        </w:drawing>
      </w:r>
    </w:p>
    <w:p>
      <w:pPr>
        <w:spacing w:after="240"/>
        <w:jc w:val="center"/>
      </w:pPr>
      <w:r>
        <w:rPr>
          <w:rFonts w:ascii="Calibri" w:hAnsi="Calibri"/>
          <w:i/>
          <w:sz w:val="20"/>
        </w:rPr>
        <w:t>Figure 30. Classification AD: Williams scatter and % in-AD bars for all datasets.</w:t>
      </w:r>
    </w:p>
    <w:p>
      <w:pPr>
        <w:pStyle w:val="Heading2"/>
      </w:pPr>
      <w:r>
        <w:t>3.6 Fingerprint highlights</w:t>
      </w:r>
    </w:p>
    <w:p>
      <w:pPr>
        <w:spacing w:after="160"/>
      </w:pPr>
      <w:r>
        <w:rPr>
          <w:rFonts w:ascii="Calibri" w:hAnsi="Calibri"/>
          <w:b w:val="0"/>
          <w:i w:val="0"/>
          <w:sz w:val="22"/>
        </w:rPr>
        <w:t>Top SHAP fingerprint bits from the regression LightGBM surrogate were led by morgan_1928, maccs_86, and maccs_107. These bits were highlighted on the five test molecules with highest predicted pMIC and on reference antimycobacterials.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F4E79" w:val="clear"/>
          </w:tcPr>
          <w:p>
            <w:r>
              <w:rPr>
                <w:b/>
                <w:color w:val="FFFFFF"/>
                <w:sz w:val="18"/>
              </w:rPr>
              <w:t>Rank</w:t>
            </w:r>
          </w:p>
        </w:tc>
        <w:tc>
          <w:tcPr>
            <w:tcW w:type="dxa" w:w="2436"/>
            <w:shd w:fill="1F4E79" w:val="clear"/>
          </w:tcPr>
          <w:p>
            <w:r>
              <w:rPr>
                <w:b/>
                <w:color w:val="FFFFFF"/>
                <w:sz w:val="18"/>
              </w:rPr>
              <w:t>Feature</w:t>
            </w:r>
          </w:p>
        </w:tc>
        <w:tc>
          <w:tcPr>
            <w:tcW w:type="dxa" w:w="2436"/>
            <w:shd w:fill="1F4E79" w:val="clear"/>
          </w:tcPr>
          <w:p>
            <w:r>
              <w:rPr>
                <w:b/>
                <w:color w:val="FFFFFF"/>
                <w:sz w:val="18"/>
              </w:rPr>
              <w:t>Type</w:t>
            </w:r>
          </w:p>
        </w:tc>
        <w:tc>
          <w:tcPr>
            <w:tcW w:type="dxa" w:w="2436"/>
            <w:shd w:fill="1F4E79" w:val="clear"/>
          </w:tcPr>
          <w:p>
            <w:r>
              <w:rPr>
                <w:b/>
                <w:color w:val="FFFFFF"/>
                <w:sz w:val="18"/>
              </w:rPr>
              <w:t>Mean |SHAP|</w:t>
            </w:r>
          </w:p>
        </w:tc>
      </w:tr>
      <w:tr>
        <w:tc>
          <w:tcPr>
            <w:tcW w:type="dxa" w:w="2436"/>
          </w:tcPr>
          <w:p>
            <w:r>
              <w:rPr>
                <w:sz w:val="18"/>
              </w:rPr>
              <w:t>1</w:t>
            </w:r>
          </w:p>
        </w:tc>
        <w:tc>
          <w:tcPr>
            <w:tcW w:type="dxa" w:w="2436"/>
          </w:tcPr>
          <w:p>
            <w:r>
              <w:rPr>
                <w:sz w:val="18"/>
              </w:rPr>
              <w:t>morgan_1928</w:t>
            </w:r>
          </w:p>
        </w:tc>
        <w:tc>
          <w:tcPr>
            <w:tcW w:type="dxa" w:w="2436"/>
          </w:tcPr>
          <w:p>
            <w:r>
              <w:rPr>
                <w:sz w:val="18"/>
              </w:rPr>
              <w:t>Morgan</w:t>
            </w:r>
          </w:p>
        </w:tc>
        <w:tc>
          <w:tcPr>
            <w:tcW w:type="dxa" w:w="2436"/>
          </w:tcPr>
          <w:p>
            <w:r>
              <w:rPr>
                <w:sz w:val="18"/>
              </w:rPr>
              <w:t>0.0212</w:t>
            </w:r>
          </w:p>
        </w:tc>
      </w:tr>
      <w:tr>
        <w:tc>
          <w:tcPr>
            <w:tcW w:type="dxa" w:w="2436"/>
            <w:shd w:fill="F2F2F2" w:val="clear"/>
          </w:tcPr>
          <w:p>
            <w:r>
              <w:rPr>
                <w:sz w:val="18"/>
              </w:rPr>
              <w:t>2</w:t>
            </w:r>
          </w:p>
        </w:tc>
        <w:tc>
          <w:tcPr>
            <w:tcW w:type="dxa" w:w="2436"/>
            <w:shd w:fill="F2F2F2" w:val="clear"/>
          </w:tcPr>
          <w:p>
            <w:r>
              <w:rPr>
                <w:sz w:val="18"/>
              </w:rPr>
              <w:t>maccs_86</w:t>
            </w:r>
          </w:p>
        </w:tc>
        <w:tc>
          <w:tcPr>
            <w:tcW w:type="dxa" w:w="2436"/>
            <w:shd w:fill="F2F2F2" w:val="clear"/>
          </w:tcPr>
          <w:p>
            <w:r>
              <w:rPr>
                <w:sz w:val="18"/>
              </w:rPr>
              <w:t>MACCS</w:t>
            </w:r>
          </w:p>
        </w:tc>
        <w:tc>
          <w:tcPr>
            <w:tcW w:type="dxa" w:w="2436"/>
            <w:shd w:fill="F2F2F2" w:val="clear"/>
          </w:tcPr>
          <w:p>
            <w:r>
              <w:rPr>
                <w:sz w:val="18"/>
              </w:rPr>
              <w:t>0.0133</w:t>
            </w:r>
          </w:p>
        </w:tc>
      </w:tr>
      <w:tr>
        <w:tc>
          <w:tcPr>
            <w:tcW w:type="dxa" w:w="2436"/>
          </w:tcPr>
          <w:p>
            <w:r>
              <w:rPr>
                <w:sz w:val="18"/>
              </w:rPr>
              <w:t>3</w:t>
            </w:r>
          </w:p>
        </w:tc>
        <w:tc>
          <w:tcPr>
            <w:tcW w:type="dxa" w:w="2436"/>
          </w:tcPr>
          <w:p>
            <w:r>
              <w:rPr>
                <w:sz w:val="18"/>
              </w:rPr>
              <w:t>maccs_107</w:t>
            </w:r>
          </w:p>
        </w:tc>
        <w:tc>
          <w:tcPr>
            <w:tcW w:type="dxa" w:w="2436"/>
          </w:tcPr>
          <w:p>
            <w:r>
              <w:rPr>
                <w:sz w:val="18"/>
              </w:rPr>
              <w:t>MACCS</w:t>
            </w:r>
          </w:p>
        </w:tc>
        <w:tc>
          <w:tcPr>
            <w:tcW w:type="dxa" w:w="2436"/>
          </w:tcPr>
          <w:p>
            <w:r>
              <w:rPr>
                <w:sz w:val="18"/>
              </w:rPr>
              <w:t>0.0125</w:t>
            </w:r>
          </w:p>
        </w:tc>
      </w:tr>
      <w:tr>
        <w:tc>
          <w:tcPr>
            <w:tcW w:type="dxa" w:w="2436"/>
            <w:shd w:fill="F2F2F2" w:val="clear"/>
          </w:tcPr>
          <w:p>
            <w:r>
              <w:rPr>
                <w:sz w:val="18"/>
              </w:rPr>
              <w:t>4</w:t>
            </w:r>
          </w:p>
        </w:tc>
        <w:tc>
          <w:tcPr>
            <w:tcW w:type="dxa" w:w="2436"/>
            <w:shd w:fill="F2F2F2" w:val="clear"/>
          </w:tcPr>
          <w:p>
            <w:r>
              <w:rPr>
                <w:sz w:val="18"/>
              </w:rPr>
              <w:t>morgan_80</w:t>
            </w:r>
          </w:p>
        </w:tc>
        <w:tc>
          <w:tcPr>
            <w:tcW w:type="dxa" w:w="2436"/>
            <w:shd w:fill="F2F2F2" w:val="clear"/>
          </w:tcPr>
          <w:p>
            <w:r>
              <w:rPr>
                <w:sz w:val="18"/>
              </w:rPr>
              <w:t>Morgan</w:t>
            </w:r>
          </w:p>
        </w:tc>
        <w:tc>
          <w:tcPr>
            <w:tcW w:type="dxa" w:w="2436"/>
            <w:shd w:fill="F2F2F2" w:val="clear"/>
          </w:tcPr>
          <w:p>
            <w:r>
              <w:rPr>
                <w:sz w:val="18"/>
              </w:rPr>
              <w:t>0.0050</w:t>
            </w:r>
          </w:p>
        </w:tc>
      </w:tr>
      <w:tr>
        <w:tc>
          <w:tcPr>
            <w:tcW w:type="dxa" w:w="2436"/>
          </w:tcPr>
          <w:p>
            <w:r>
              <w:rPr>
                <w:sz w:val="18"/>
              </w:rPr>
              <w:t>5</w:t>
            </w:r>
          </w:p>
        </w:tc>
        <w:tc>
          <w:tcPr>
            <w:tcW w:type="dxa" w:w="2436"/>
          </w:tcPr>
          <w:p>
            <w:r>
              <w:rPr>
                <w:sz w:val="18"/>
              </w:rPr>
              <w:t>maccs_113</w:t>
            </w:r>
          </w:p>
        </w:tc>
        <w:tc>
          <w:tcPr>
            <w:tcW w:type="dxa" w:w="2436"/>
          </w:tcPr>
          <w:p>
            <w:r>
              <w:rPr>
                <w:sz w:val="18"/>
              </w:rPr>
              <w:t>MACCS</w:t>
            </w:r>
          </w:p>
        </w:tc>
        <w:tc>
          <w:tcPr>
            <w:tcW w:type="dxa" w:w="2436"/>
          </w:tcPr>
          <w:p>
            <w:r>
              <w:rPr>
                <w:sz w:val="18"/>
              </w:rPr>
              <w:t>0.0025</w:t>
            </w:r>
          </w:p>
        </w:tc>
      </w:tr>
      <w:tr>
        <w:tc>
          <w:tcPr>
            <w:tcW w:type="dxa" w:w="2436"/>
            <w:shd w:fill="F2F2F2" w:val="clear"/>
          </w:tcPr>
          <w:p>
            <w:r>
              <w:rPr>
                <w:sz w:val="18"/>
              </w:rPr>
              <w:t>6</w:t>
            </w:r>
          </w:p>
        </w:tc>
        <w:tc>
          <w:tcPr>
            <w:tcW w:type="dxa" w:w="2436"/>
            <w:shd w:fill="F2F2F2" w:val="clear"/>
          </w:tcPr>
          <w:p>
            <w:r>
              <w:rPr>
                <w:sz w:val="18"/>
              </w:rPr>
              <w:t>maccs_119</w:t>
            </w:r>
          </w:p>
        </w:tc>
        <w:tc>
          <w:tcPr>
            <w:tcW w:type="dxa" w:w="2436"/>
            <w:shd w:fill="F2F2F2" w:val="clear"/>
          </w:tcPr>
          <w:p>
            <w:r>
              <w:rPr>
                <w:sz w:val="18"/>
              </w:rPr>
              <w:t>MACCS</w:t>
            </w:r>
          </w:p>
        </w:tc>
        <w:tc>
          <w:tcPr>
            <w:tcW w:type="dxa" w:w="2436"/>
            <w:shd w:fill="F2F2F2" w:val="clear"/>
          </w:tcPr>
          <w:p>
            <w:r>
              <w:rPr>
                <w:sz w:val="18"/>
              </w:rPr>
              <w:t>0.0025</w:t>
            </w:r>
          </w:p>
        </w:tc>
      </w:tr>
      <w:tr>
        <w:tc>
          <w:tcPr>
            <w:tcW w:type="dxa" w:w="2436"/>
          </w:tcPr>
          <w:p>
            <w:r>
              <w:rPr>
                <w:sz w:val="18"/>
              </w:rPr>
              <w:t>7</w:t>
            </w:r>
          </w:p>
        </w:tc>
        <w:tc>
          <w:tcPr>
            <w:tcW w:type="dxa" w:w="2436"/>
          </w:tcPr>
          <w:p>
            <w:r>
              <w:rPr>
                <w:sz w:val="18"/>
              </w:rPr>
              <w:t>morgan_715</w:t>
            </w:r>
          </w:p>
        </w:tc>
        <w:tc>
          <w:tcPr>
            <w:tcW w:type="dxa" w:w="2436"/>
          </w:tcPr>
          <w:p>
            <w:r>
              <w:rPr>
                <w:sz w:val="18"/>
              </w:rPr>
              <w:t>Morgan</w:t>
            </w:r>
          </w:p>
        </w:tc>
        <w:tc>
          <w:tcPr>
            <w:tcW w:type="dxa" w:w="2436"/>
          </w:tcPr>
          <w:p>
            <w:r>
              <w:rPr>
                <w:sz w:val="18"/>
              </w:rPr>
              <w:t>0.0024</w:t>
            </w:r>
          </w:p>
        </w:tc>
      </w:tr>
      <w:tr>
        <w:tc>
          <w:tcPr>
            <w:tcW w:type="dxa" w:w="2436"/>
            <w:shd w:fill="F2F2F2" w:val="clear"/>
          </w:tcPr>
          <w:p>
            <w:r>
              <w:rPr>
                <w:sz w:val="18"/>
              </w:rPr>
              <w:t>8</w:t>
            </w:r>
          </w:p>
        </w:tc>
        <w:tc>
          <w:tcPr>
            <w:tcW w:type="dxa" w:w="2436"/>
            <w:shd w:fill="F2F2F2" w:val="clear"/>
          </w:tcPr>
          <w:p>
            <w:r>
              <w:rPr>
                <w:sz w:val="18"/>
              </w:rPr>
              <w:t>maccs_89</w:t>
            </w:r>
          </w:p>
        </w:tc>
        <w:tc>
          <w:tcPr>
            <w:tcW w:type="dxa" w:w="2436"/>
            <w:shd w:fill="F2F2F2" w:val="clear"/>
          </w:tcPr>
          <w:p>
            <w:r>
              <w:rPr>
                <w:sz w:val="18"/>
              </w:rPr>
              <w:t>MACCS</w:t>
            </w:r>
          </w:p>
        </w:tc>
        <w:tc>
          <w:tcPr>
            <w:tcW w:type="dxa" w:w="2436"/>
            <w:shd w:fill="F2F2F2" w:val="clear"/>
          </w:tcPr>
          <w:p>
            <w:r>
              <w:rPr>
                <w:sz w:val="18"/>
              </w:rPr>
              <w:t>0.0023</w:t>
            </w:r>
          </w:p>
        </w:tc>
      </w:tr>
    </w:tbl>
    <w:p/>
    <w:p>
      <w:pPr>
        <w:spacing w:after="160"/>
      </w:pPr>
      <w:r>
        <w:rPr>
          <w:rFonts w:ascii="Calibri" w:hAnsi="Calibri"/>
          <w:b w:val="0"/>
          <w:i/>
          <w:sz w:val="20"/>
        </w:rPr>
        <w:t>Table 8. Top regression SHAP fingerprint features.</w:t>
      </w:r>
    </w:p>
    <w:p>
      <w:pPr>
        <w:jc w:val="center"/>
      </w:pPr>
      <w:r>
        <w:drawing>
          <wp:inline xmlns:a="http://schemas.openxmlformats.org/drawingml/2006/main" xmlns:pic="http://schemas.openxmlformats.org/drawingml/2006/picture">
            <wp:extent cx="4754880" cy="3396343"/>
            <wp:docPr id="31" name="Picture 31"/>
            <wp:cNvGraphicFramePr>
              <a:graphicFrameLocks noChangeAspect="1"/>
            </wp:cNvGraphicFramePr>
            <a:graphic>
              <a:graphicData uri="http://schemas.openxmlformats.org/drawingml/2006/picture">
                <pic:pic>
                  <pic:nvPicPr>
                    <pic:cNvPr id="0" name="test_top1_score_7p37.png"/>
                    <pic:cNvPicPr/>
                  </pic:nvPicPr>
                  <pic:blipFill>
                    <a:blip r:embed="rId39"/>
                    <a:stretch>
                      <a:fillRect/>
                    </a:stretch>
                  </pic:blipFill>
                  <pic:spPr>
                    <a:xfrm>
                      <a:off x="0" y="0"/>
                      <a:ext cx="4754880" cy="3396343"/>
                    </a:xfrm>
                    <a:prstGeom prst="rect"/>
                  </pic:spPr>
                </pic:pic>
              </a:graphicData>
            </a:graphic>
          </wp:inline>
        </w:drawing>
      </w:r>
    </w:p>
    <w:p>
      <w:pPr>
        <w:spacing w:after="240"/>
        <w:jc w:val="center"/>
      </w:pPr>
      <w:r>
        <w:rPr>
          <w:rFonts w:ascii="Calibri" w:hAnsi="Calibri"/>
          <w:i/>
          <w:sz w:val="20"/>
        </w:rPr>
        <w:t>Figure 31. Test top-1 by predicted pMIC — FP highlights.</w:t>
      </w:r>
    </w:p>
    <w:p>
      <w:pPr>
        <w:jc w:val="center"/>
      </w:pPr>
      <w:r>
        <w:drawing>
          <wp:inline xmlns:a="http://schemas.openxmlformats.org/drawingml/2006/main" xmlns:pic="http://schemas.openxmlformats.org/drawingml/2006/picture">
            <wp:extent cx="4754880" cy="3396343"/>
            <wp:docPr id="32" name="Picture 32"/>
            <wp:cNvGraphicFramePr>
              <a:graphicFrameLocks noChangeAspect="1"/>
            </wp:cNvGraphicFramePr>
            <a:graphic>
              <a:graphicData uri="http://schemas.openxmlformats.org/drawingml/2006/picture">
                <pic:pic>
                  <pic:nvPicPr>
                    <pic:cNvPr id="0" name="test_top2_score_7p37.png"/>
                    <pic:cNvPicPr/>
                  </pic:nvPicPr>
                  <pic:blipFill>
                    <a:blip r:embed="rId40"/>
                    <a:stretch>
                      <a:fillRect/>
                    </a:stretch>
                  </pic:blipFill>
                  <pic:spPr>
                    <a:xfrm>
                      <a:off x="0" y="0"/>
                      <a:ext cx="4754880" cy="3396343"/>
                    </a:xfrm>
                    <a:prstGeom prst="rect"/>
                  </pic:spPr>
                </pic:pic>
              </a:graphicData>
            </a:graphic>
          </wp:inline>
        </w:drawing>
      </w:r>
    </w:p>
    <w:p>
      <w:pPr>
        <w:spacing w:after="240"/>
        <w:jc w:val="center"/>
      </w:pPr>
      <w:r>
        <w:rPr>
          <w:rFonts w:ascii="Calibri" w:hAnsi="Calibri"/>
          <w:i/>
          <w:sz w:val="20"/>
        </w:rPr>
        <w:t>Figure 32. Test top-2 — FP highlights.</w:t>
      </w:r>
    </w:p>
    <w:p>
      <w:pPr>
        <w:jc w:val="center"/>
      </w:pPr>
      <w:r>
        <w:drawing>
          <wp:inline xmlns:a="http://schemas.openxmlformats.org/drawingml/2006/main" xmlns:pic="http://schemas.openxmlformats.org/drawingml/2006/picture">
            <wp:extent cx="4754880" cy="3396343"/>
            <wp:docPr id="33" name="Picture 33"/>
            <wp:cNvGraphicFramePr>
              <a:graphicFrameLocks noChangeAspect="1"/>
            </wp:cNvGraphicFramePr>
            <a:graphic>
              <a:graphicData uri="http://schemas.openxmlformats.org/drawingml/2006/picture">
                <pic:pic>
                  <pic:nvPicPr>
                    <pic:cNvPr id="0" name="test_top3_score_7p36.png"/>
                    <pic:cNvPicPr/>
                  </pic:nvPicPr>
                  <pic:blipFill>
                    <a:blip r:embed="rId41"/>
                    <a:stretch>
                      <a:fillRect/>
                    </a:stretch>
                  </pic:blipFill>
                  <pic:spPr>
                    <a:xfrm>
                      <a:off x="0" y="0"/>
                      <a:ext cx="4754880" cy="3396343"/>
                    </a:xfrm>
                    <a:prstGeom prst="rect"/>
                  </pic:spPr>
                </pic:pic>
              </a:graphicData>
            </a:graphic>
          </wp:inline>
        </w:drawing>
      </w:r>
    </w:p>
    <w:p>
      <w:pPr>
        <w:spacing w:after="240"/>
        <w:jc w:val="center"/>
      </w:pPr>
      <w:r>
        <w:rPr>
          <w:rFonts w:ascii="Calibri" w:hAnsi="Calibri"/>
          <w:i/>
          <w:sz w:val="20"/>
        </w:rPr>
        <w:t>Figure 33. Test top-3 — FP highlights.</w:t>
      </w:r>
    </w:p>
    <w:p>
      <w:pPr>
        <w:jc w:val="center"/>
      </w:pPr>
      <w:r>
        <w:drawing>
          <wp:inline xmlns:a="http://schemas.openxmlformats.org/drawingml/2006/main" xmlns:pic="http://schemas.openxmlformats.org/drawingml/2006/picture">
            <wp:extent cx="4754880" cy="3396343"/>
            <wp:docPr id="34" name="Picture 34"/>
            <wp:cNvGraphicFramePr>
              <a:graphicFrameLocks noChangeAspect="1"/>
            </wp:cNvGraphicFramePr>
            <a:graphic>
              <a:graphicData uri="http://schemas.openxmlformats.org/drawingml/2006/picture">
                <pic:pic>
                  <pic:nvPicPr>
                    <pic:cNvPr id="0" name="test_top4_score_7p32.png"/>
                    <pic:cNvPicPr/>
                  </pic:nvPicPr>
                  <pic:blipFill>
                    <a:blip r:embed="rId42"/>
                    <a:stretch>
                      <a:fillRect/>
                    </a:stretch>
                  </pic:blipFill>
                  <pic:spPr>
                    <a:xfrm>
                      <a:off x="0" y="0"/>
                      <a:ext cx="4754880" cy="3396343"/>
                    </a:xfrm>
                    <a:prstGeom prst="rect"/>
                  </pic:spPr>
                </pic:pic>
              </a:graphicData>
            </a:graphic>
          </wp:inline>
        </w:drawing>
      </w:r>
    </w:p>
    <w:p>
      <w:pPr>
        <w:spacing w:after="240"/>
        <w:jc w:val="center"/>
      </w:pPr>
      <w:r>
        <w:rPr>
          <w:rFonts w:ascii="Calibri" w:hAnsi="Calibri"/>
          <w:i/>
          <w:sz w:val="20"/>
        </w:rPr>
        <w:t>Figure 34. Test top-4 — FP highlights.</w:t>
      </w:r>
    </w:p>
    <w:p>
      <w:pPr>
        <w:jc w:val="center"/>
      </w:pPr>
      <w:r>
        <w:drawing>
          <wp:inline xmlns:a="http://schemas.openxmlformats.org/drawingml/2006/main" xmlns:pic="http://schemas.openxmlformats.org/drawingml/2006/picture">
            <wp:extent cx="4754880" cy="3396343"/>
            <wp:docPr id="35" name="Picture 35"/>
            <wp:cNvGraphicFramePr>
              <a:graphicFrameLocks noChangeAspect="1"/>
            </wp:cNvGraphicFramePr>
            <a:graphic>
              <a:graphicData uri="http://schemas.openxmlformats.org/drawingml/2006/picture">
                <pic:pic>
                  <pic:nvPicPr>
                    <pic:cNvPr id="0" name="test_top5_score_7p32.png"/>
                    <pic:cNvPicPr/>
                  </pic:nvPicPr>
                  <pic:blipFill>
                    <a:blip r:embed="rId43"/>
                    <a:stretch>
                      <a:fillRect/>
                    </a:stretch>
                  </pic:blipFill>
                  <pic:spPr>
                    <a:xfrm>
                      <a:off x="0" y="0"/>
                      <a:ext cx="4754880" cy="3396343"/>
                    </a:xfrm>
                    <a:prstGeom prst="rect"/>
                  </pic:spPr>
                </pic:pic>
              </a:graphicData>
            </a:graphic>
          </wp:inline>
        </w:drawing>
      </w:r>
    </w:p>
    <w:p>
      <w:pPr>
        <w:spacing w:after="240"/>
        <w:jc w:val="center"/>
      </w:pPr>
      <w:r>
        <w:rPr>
          <w:rFonts w:ascii="Calibri" w:hAnsi="Calibri"/>
          <w:i/>
          <w:sz w:val="20"/>
        </w:rPr>
        <w:t>Figure 35. Test top-5 — FP highlights.</w:t>
      </w:r>
    </w:p>
    <w:p>
      <w:pPr>
        <w:jc w:val="center"/>
      </w:pPr>
      <w:r>
        <w:drawing>
          <wp:inline xmlns:a="http://schemas.openxmlformats.org/drawingml/2006/main" xmlns:pic="http://schemas.openxmlformats.org/drawingml/2006/picture">
            <wp:extent cx="4754880" cy="3396343"/>
            <wp:docPr id="36" name="Picture 36"/>
            <wp:cNvGraphicFramePr>
              <a:graphicFrameLocks noChangeAspect="1"/>
            </wp:cNvGraphicFramePr>
            <a:graphic>
              <a:graphicData uri="http://schemas.openxmlformats.org/drawingml/2006/picture">
                <pic:pic>
                  <pic:nvPicPr>
                    <pic:cNvPr id="0" name="map_Isoniazid.png"/>
                    <pic:cNvPicPr/>
                  </pic:nvPicPr>
                  <pic:blipFill>
                    <a:blip r:embed="rId44"/>
                    <a:stretch>
                      <a:fillRect/>
                    </a:stretch>
                  </pic:blipFill>
                  <pic:spPr>
                    <a:xfrm>
                      <a:off x="0" y="0"/>
                      <a:ext cx="4754880" cy="3396343"/>
                    </a:xfrm>
                    <a:prstGeom prst="rect"/>
                  </pic:spPr>
                </pic:pic>
              </a:graphicData>
            </a:graphic>
          </wp:inline>
        </w:drawing>
      </w:r>
    </w:p>
    <w:p>
      <w:pPr>
        <w:spacing w:after="240"/>
        <w:jc w:val="center"/>
      </w:pPr>
      <w:r>
        <w:rPr>
          <w:rFonts w:ascii="Calibri" w:hAnsi="Calibri"/>
          <w:i/>
          <w:sz w:val="20"/>
        </w:rPr>
        <w:t>Figure 36. Isoniazid — FP highlights.</w:t>
      </w:r>
    </w:p>
    <w:p>
      <w:pPr>
        <w:jc w:val="center"/>
      </w:pPr>
      <w:r>
        <w:drawing>
          <wp:inline xmlns:a="http://schemas.openxmlformats.org/drawingml/2006/main" xmlns:pic="http://schemas.openxmlformats.org/drawingml/2006/picture">
            <wp:extent cx="4754880" cy="3396343"/>
            <wp:docPr id="37" name="Picture 37"/>
            <wp:cNvGraphicFramePr>
              <a:graphicFrameLocks noChangeAspect="1"/>
            </wp:cNvGraphicFramePr>
            <a:graphic>
              <a:graphicData uri="http://schemas.openxmlformats.org/drawingml/2006/picture">
                <pic:pic>
                  <pic:nvPicPr>
                    <pic:cNvPr id="0" name="map_Rifampin.png"/>
                    <pic:cNvPicPr/>
                  </pic:nvPicPr>
                  <pic:blipFill>
                    <a:blip r:embed="rId45"/>
                    <a:stretch>
                      <a:fillRect/>
                    </a:stretch>
                  </pic:blipFill>
                  <pic:spPr>
                    <a:xfrm>
                      <a:off x="0" y="0"/>
                      <a:ext cx="4754880" cy="3396343"/>
                    </a:xfrm>
                    <a:prstGeom prst="rect"/>
                  </pic:spPr>
                </pic:pic>
              </a:graphicData>
            </a:graphic>
          </wp:inline>
        </w:drawing>
      </w:r>
    </w:p>
    <w:p>
      <w:pPr>
        <w:spacing w:after="240"/>
        <w:jc w:val="center"/>
      </w:pPr>
      <w:r>
        <w:rPr>
          <w:rFonts w:ascii="Calibri" w:hAnsi="Calibri"/>
          <w:i/>
          <w:sz w:val="20"/>
        </w:rPr>
        <w:t>Figure 37. Rifampin — FP highlights.</w:t>
      </w:r>
    </w:p>
    <w:p>
      <w:pPr>
        <w:jc w:val="center"/>
      </w:pPr>
      <w:r>
        <w:drawing>
          <wp:inline xmlns:a="http://schemas.openxmlformats.org/drawingml/2006/main" xmlns:pic="http://schemas.openxmlformats.org/drawingml/2006/picture">
            <wp:extent cx="4754880" cy="3396343"/>
            <wp:docPr id="38" name="Picture 38"/>
            <wp:cNvGraphicFramePr>
              <a:graphicFrameLocks noChangeAspect="1"/>
            </wp:cNvGraphicFramePr>
            <a:graphic>
              <a:graphicData uri="http://schemas.openxmlformats.org/drawingml/2006/picture">
                <pic:pic>
                  <pic:nvPicPr>
                    <pic:cNvPr id="0" name="map_Pyrazinamide.png"/>
                    <pic:cNvPicPr/>
                  </pic:nvPicPr>
                  <pic:blipFill>
                    <a:blip r:embed="rId46"/>
                    <a:stretch>
                      <a:fillRect/>
                    </a:stretch>
                  </pic:blipFill>
                  <pic:spPr>
                    <a:xfrm>
                      <a:off x="0" y="0"/>
                      <a:ext cx="4754880" cy="3396343"/>
                    </a:xfrm>
                    <a:prstGeom prst="rect"/>
                  </pic:spPr>
                </pic:pic>
              </a:graphicData>
            </a:graphic>
          </wp:inline>
        </w:drawing>
      </w:r>
    </w:p>
    <w:p>
      <w:pPr>
        <w:spacing w:after="240"/>
        <w:jc w:val="center"/>
      </w:pPr>
      <w:r>
        <w:rPr>
          <w:rFonts w:ascii="Calibri" w:hAnsi="Calibri"/>
          <w:i/>
          <w:sz w:val="20"/>
        </w:rPr>
        <w:t>Figure 38. Pyrazinamide — FP highlights.</w:t>
      </w:r>
    </w:p>
    <w:p>
      <w:pPr>
        <w:jc w:val="center"/>
      </w:pPr>
      <w:r>
        <w:drawing>
          <wp:inline xmlns:a="http://schemas.openxmlformats.org/drawingml/2006/main" xmlns:pic="http://schemas.openxmlformats.org/drawingml/2006/picture">
            <wp:extent cx="4754880" cy="3396343"/>
            <wp:docPr id="39" name="Picture 39"/>
            <wp:cNvGraphicFramePr>
              <a:graphicFrameLocks noChangeAspect="1"/>
            </wp:cNvGraphicFramePr>
            <a:graphic>
              <a:graphicData uri="http://schemas.openxmlformats.org/drawingml/2006/picture">
                <pic:pic>
                  <pic:nvPicPr>
                    <pic:cNvPr id="0" name="map_Ethambutol.png"/>
                    <pic:cNvPicPr/>
                  </pic:nvPicPr>
                  <pic:blipFill>
                    <a:blip r:embed="rId47"/>
                    <a:stretch>
                      <a:fillRect/>
                    </a:stretch>
                  </pic:blipFill>
                  <pic:spPr>
                    <a:xfrm>
                      <a:off x="0" y="0"/>
                      <a:ext cx="4754880" cy="3396343"/>
                    </a:xfrm>
                    <a:prstGeom prst="rect"/>
                  </pic:spPr>
                </pic:pic>
              </a:graphicData>
            </a:graphic>
          </wp:inline>
        </w:drawing>
      </w:r>
    </w:p>
    <w:p>
      <w:pPr>
        <w:spacing w:after="240"/>
        <w:jc w:val="center"/>
      </w:pPr>
      <w:r>
        <w:rPr>
          <w:rFonts w:ascii="Calibri" w:hAnsi="Calibri"/>
          <w:i/>
          <w:sz w:val="20"/>
        </w:rPr>
        <w:t>Figure 39. Ethambutol — FP highlights.</w:t>
      </w:r>
    </w:p>
    <w:p>
      <w:pPr>
        <w:jc w:val="center"/>
      </w:pPr>
      <w:r>
        <w:drawing>
          <wp:inline xmlns:a="http://schemas.openxmlformats.org/drawingml/2006/main" xmlns:pic="http://schemas.openxmlformats.org/drawingml/2006/picture">
            <wp:extent cx="4754880" cy="3396343"/>
            <wp:docPr id="40" name="Picture 40"/>
            <wp:cNvGraphicFramePr>
              <a:graphicFrameLocks noChangeAspect="1"/>
            </wp:cNvGraphicFramePr>
            <a:graphic>
              <a:graphicData uri="http://schemas.openxmlformats.org/drawingml/2006/picture">
                <pic:pic>
                  <pic:nvPicPr>
                    <pic:cNvPr id="0" name="map_Bedaquiline.png"/>
                    <pic:cNvPicPr/>
                  </pic:nvPicPr>
                  <pic:blipFill>
                    <a:blip r:embed="rId48"/>
                    <a:stretch>
                      <a:fillRect/>
                    </a:stretch>
                  </pic:blipFill>
                  <pic:spPr>
                    <a:xfrm>
                      <a:off x="0" y="0"/>
                      <a:ext cx="4754880" cy="3396343"/>
                    </a:xfrm>
                    <a:prstGeom prst="rect"/>
                  </pic:spPr>
                </pic:pic>
              </a:graphicData>
            </a:graphic>
          </wp:inline>
        </w:drawing>
      </w:r>
    </w:p>
    <w:p>
      <w:pPr>
        <w:spacing w:after="240"/>
        <w:jc w:val="center"/>
      </w:pPr>
      <w:r>
        <w:rPr>
          <w:rFonts w:ascii="Calibri" w:hAnsi="Calibri"/>
          <w:i/>
          <w:sz w:val="20"/>
        </w:rPr>
        <w:t>Figure 40. Bedaquiline — FP highlights.</w:t>
      </w:r>
    </w:p>
    <w:p>
      <w:pPr>
        <w:jc w:val="center"/>
      </w:pPr>
      <w:r>
        <w:drawing>
          <wp:inline xmlns:a="http://schemas.openxmlformats.org/drawingml/2006/main" xmlns:pic="http://schemas.openxmlformats.org/drawingml/2006/picture">
            <wp:extent cx="4754880" cy="3396343"/>
            <wp:docPr id="41" name="Picture 41"/>
            <wp:cNvGraphicFramePr>
              <a:graphicFrameLocks noChangeAspect="1"/>
            </wp:cNvGraphicFramePr>
            <a:graphic>
              <a:graphicData uri="http://schemas.openxmlformats.org/drawingml/2006/picture">
                <pic:pic>
                  <pic:nvPicPr>
                    <pic:cNvPr id="0" name="map_Delamanid.png"/>
                    <pic:cNvPicPr/>
                  </pic:nvPicPr>
                  <pic:blipFill>
                    <a:blip r:embed="rId49"/>
                    <a:stretch>
                      <a:fillRect/>
                    </a:stretch>
                  </pic:blipFill>
                  <pic:spPr>
                    <a:xfrm>
                      <a:off x="0" y="0"/>
                      <a:ext cx="4754880" cy="3396343"/>
                    </a:xfrm>
                    <a:prstGeom prst="rect"/>
                  </pic:spPr>
                </pic:pic>
              </a:graphicData>
            </a:graphic>
          </wp:inline>
        </w:drawing>
      </w:r>
    </w:p>
    <w:p>
      <w:pPr>
        <w:spacing w:after="240"/>
        <w:jc w:val="center"/>
      </w:pPr>
      <w:r>
        <w:rPr>
          <w:rFonts w:ascii="Calibri" w:hAnsi="Calibri"/>
          <w:i/>
          <w:sz w:val="20"/>
        </w:rPr>
        <w:t>Figure 41. Delamanid — FP highlights.</w:t>
      </w:r>
    </w:p>
    <w:p>
      <w:pPr>
        <w:jc w:val="center"/>
      </w:pPr>
      <w:r>
        <w:drawing>
          <wp:inline xmlns:a="http://schemas.openxmlformats.org/drawingml/2006/main" xmlns:pic="http://schemas.openxmlformats.org/drawingml/2006/picture">
            <wp:extent cx="4754880" cy="3396343"/>
            <wp:docPr id="42" name="Picture 42"/>
            <wp:cNvGraphicFramePr>
              <a:graphicFrameLocks noChangeAspect="1"/>
            </wp:cNvGraphicFramePr>
            <a:graphic>
              <a:graphicData uri="http://schemas.openxmlformats.org/drawingml/2006/picture">
                <pic:pic>
                  <pic:nvPicPr>
                    <pic:cNvPr id="0" name="map_Pretomanid.png"/>
                    <pic:cNvPicPr/>
                  </pic:nvPicPr>
                  <pic:blipFill>
                    <a:blip r:embed="rId50"/>
                    <a:stretch>
                      <a:fillRect/>
                    </a:stretch>
                  </pic:blipFill>
                  <pic:spPr>
                    <a:xfrm>
                      <a:off x="0" y="0"/>
                      <a:ext cx="4754880" cy="3396343"/>
                    </a:xfrm>
                    <a:prstGeom prst="rect"/>
                  </pic:spPr>
                </pic:pic>
              </a:graphicData>
            </a:graphic>
          </wp:inline>
        </w:drawing>
      </w:r>
    </w:p>
    <w:p>
      <w:pPr>
        <w:spacing w:after="240"/>
        <w:jc w:val="center"/>
      </w:pPr>
      <w:r>
        <w:rPr>
          <w:rFonts w:ascii="Calibri" w:hAnsi="Calibri"/>
          <w:i/>
          <w:sz w:val="20"/>
        </w:rPr>
        <w:t>Figure 42. Pretomanid — FP highlights.</w:t>
      </w:r>
    </w:p>
    <w:p>
      <w:pPr>
        <w:jc w:val="center"/>
      </w:pPr>
      <w:r>
        <w:drawing>
          <wp:inline xmlns:a="http://schemas.openxmlformats.org/drawingml/2006/main" xmlns:pic="http://schemas.openxmlformats.org/drawingml/2006/picture">
            <wp:extent cx="4754880" cy="3396343"/>
            <wp:docPr id="43" name="Picture 43"/>
            <wp:cNvGraphicFramePr>
              <a:graphicFrameLocks noChangeAspect="1"/>
            </wp:cNvGraphicFramePr>
            <a:graphic>
              <a:graphicData uri="http://schemas.openxmlformats.org/drawingml/2006/picture">
                <pic:pic>
                  <pic:nvPicPr>
                    <pic:cNvPr id="0" name="map_Linezolid.png"/>
                    <pic:cNvPicPr/>
                  </pic:nvPicPr>
                  <pic:blipFill>
                    <a:blip r:embed="rId51"/>
                    <a:stretch>
                      <a:fillRect/>
                    </a:stretch>
                  </pic:blipFill>
                  <pic:spPr>
                    <a:xfrm>
                      <a:off x="0" y="0"/>
                      <a:ext cx="4754880" cy="3396343"/>
                    </a:xfrm>
                    <a:prstGeom prst="rect"/>
                  </pic:spPr>
                </pic:pic>
              </a:graphicData>
            </a:graphic>
          </wp:inline>
        </w:drawing>
      </w:r>
    </w:p>
    <w:p>
      <w:pPr>
        <w:spacing w:after="240"/>
        <w:jc w:val="center"/>
      </w:pPr>
      <w:r>
        <w:rPr>
          <w:rFonts w:ascii="Calibri" w:hAnsi="Calibri"/>
          <w:i/>
          <w:sz w:val="20"/>
        </w:rPr>
        <w:t>Figure 43. Linezolid — FP highlights.</w:t>
      </w:r>
    </w:p>
    <w:p>
      <w:pPr>
        <w:pStyle w:val="Heading2"/>
      </w:pPr>
      <w:r>
        <w:t>3.7 External validation</w:t>
      </w:r>
    </w:p>
    <w:p>
      <w:pPr>
        <w:spacing w:after="160"/>
      </w:pPr>
      <w:r>
        <w:rPr>
          <w:rFonts w:ascii="Calibri" w:hAnsi="Calibri"/>
          <w:b w:val="0"/>
          <w:i w:val="0"/>
          <w:sz w:val="22"/>
        </w:rPr>
        <w:t>On the canonicalized external set (n = 92 unique molecules; 7 actives at pMIC ≥ 6) the global regressor achieved R² = 0.718, RMSE = 0.455, MAE = 0.358. Classification at cutoff 6.0 yielded ROC-AUC = 0.923, balanced accuracy = 0.918, F1 = 0.500, and MCC = 0.528. These metrics are consistent with the high regression AD coverage of this set (91.3%).</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1F4E79" w:val="clear"/>
          </w:tcPr>
          <w:p>
            <w:r>
              <w:rPr>
                <w:b/>
                <w:color w:val="FFFFFF"/>
                <w:sz w:val="18"/>
              </w:rPr>
              <w:t>Task</w:t>
            </w:r>
          </w:p>
        </w:tc>
        <w:tc>
          <w:tcPr>
            <w:tcW w:type="dxa" w:w="3249"/>
            <w:shd w:fill="1F4E79" w:val="clear"/>
          </w:tcPr>
          <w:p>
            <w:r>
              <w:rPr>
                <w:b/>
                <w:color w:val="FFFFFF"/>
                <w:sz w:val="18"/>
              </w:rPr>
              <w:t>Metric</w:t>
            </w:r>
          </w:p>
        </w:tc>
        <w:tc>
          <w:tcPr>
            <w:tcW w:type="dxa" w:w="3249"/>
            <w:shd w:fill="1F4E79" w:val="clear"/>
          </w:tcPr>
          <w:p>
            <w:r>
              <w:rPr>
                <w:b/>
                <w:color w:val="FFFFFF"/>
                <w:sz w:val="18"/>
              </w:rPr>
              <w:t>Value</w:t>
            </w:r>
          </w:p>
        </w:tc>
      </w:tr>
      <w:tr>
        <w:tc>
          <w:tcPr>
            <w:tcW w:type="dxa" w:w="3249"/>
          </w:tcPr>
          <w:p>
            <w:r>
              <w:rPr>
                <w:sz w:val="18"/>
              </w:rPr>
              <w:t>Regression (global)</w:t>
            </w:r>
          </w:p>
        </w:tc>
        <w:tc>
          <w:tcPr>
            <w:tcW w:type="dxa" w:w="3249"/>
          </w:tcPr>
          <w:p>
            <w:r>
              <w:rPr>
                <w:sz w:val="18"/>
              </w:rPr>
              <w:t>n / R² / RMSE / MAE</w:t>
            </w:r>
          </w:p>
        </w:tc>
        <w:tc>
          <w:tcPr>
            <w:tcW w:type="dxa" w:w="3249"/>
          </w:tcPr>
          <w:p>
            <w:r>
              <w:rPr>
                <w:sz w:val="18"/>
              </w:rPr>
              <w:t>92 / 0.718 / 0.455 / 0.358</w:t>
            </w:r>
          </w:p>
        </w:tc>
      </w:tr>
      <w:tr>
        <w:tc>
          <w:tcPr>
            <w:tcW w:type="dxa" w:w="3249"/>
            <w:shd w:fill="F2F2F2" w:val="clear"/>
          </w:tcPr>
          <w:p>
            <w:r>
              <w:rPr>
                <w:sz w:val="18"/>
              </w:rPr>
              <w:t>Classification (T=6)</w:t>
            </w:r>
          </w:p>
        </w:tc>
        <w:tc>
          <w:tcPr>
            <w:tcW w:type="dxa" w:w="3249"/>
            <w:shd w:fill="F2F2F2" w:val="clear"/>
          </w:tcPr>
          <w:p>
            <w:r>
              <w:rPr>
                <w:sz w:val="18"/>
              </w:rPr>
              <w:t>AUC / BalAcc / F1 / MCC</w:t>
            </w:r>
          </w:p>
        </w:tc>
        <w:tc>
          <w:tcPr>
            <w:tcW w:type="dxa" w:w="3249"/>
            <w:shd w:fill="F2F2F2" w:val="clear"/>
          </w:tcPr>
          <w:p>
            <w:r>
              <w:rPr>
                <w:sz w:val="18"/>
              </w:rPr>
              <w:t>0.923 / 0.918 / 0.500 / 0.528</w:t>
            </w:r>
          </w:p>
        </w:tc>
      </w:tr>
      <w:tr>
        <w:tc>
          <w:tcPr>
            <w:tcW w:type="dxa" w:w="3249"/>
          </w:tcPr>
          <w:p>
            <w:r>
              <w:rPr>
                <w:sz w:val="18"/>
              </w:rPr>
              <w:t>External actives at T=6</w:t>
            </w:r>
          </w:p>
        </w:tc>
        <w:tc>
          <w:tcPr>
            <w:tcW w:type="dxa" w:w="3249"/>
          </w:tcPr>
          <w:p>
            <w:r>
              <w:rPr>
                <w:sz w:val="18"/>
              </w:rPr>
              <w:t>n (%)</w:t>
            </w:r>
          </w:p>
        </w:tc>
        <w:tc>
          <w:tcPr>
            <w:tcW w:type="dxa" w:w="3249"/>
          </w:tcPr>
          <w:p>
            <w:r>
              <w:rPr>
                <w:sz w:val="18"/>
              </w:rPr>
              <w:t>7 / 92 (7.6%)</w:t>
            </w:r>
          </w:p>
        </w:tc>
      </w:tr>
      <w:tr>
        <w:tc>
          <w:tcPr>
            <w:tcW w:type="dxa" w:w="3249"/>
            <w:shd w:fill="F2F2F2" w:val="clear"/>
          </w:tcPr>
          <w:p>
            <w:r>
              <w:rPr>
                <w:sz w:val="18"/>
              </w:rPr>
              <w:t>Regression AD coverage</w:t>
            </w:r>
          </w:p>
        </w:tc>
        <w:tc>
          <w:tcPr>
            <w:tcW w:type="dxa" w:w="3249"/>
            <w:shd w:fill="F2F2F2" w:val="clear"/>
          </w:tcPr>
          <w:p>
            <w:r>
              <w:rPr>
                <w:sz w:val="18"/>
              </w:rPr>
              <w:t>in-AD %</w:t>
            </w:r>
          </w:p>
        </w:tc>
        <w:tc>
          <w:tcPr>
            <w:tcW w:type="dxa" w:w="3249"/>
            <w:shd w:fill="F2F2F2" w:val="clear"/>
          </w:tcPr>
          <w:p>
            <w:r>
              <w:rPr>
                <w:sz w:val="18"/>
              </w:rPr>
              <w:t>91.3</w:t>
            </w:r>
          </w:p>
        </w:tc>
      </w:tr>
      <w:tr>
        <w:tc>
          <w:tcPr>
            <w:tcW w:type="dxa" w:w="3249"/>
          </w:tcPr>
          <w:p>
            <w:r>
              <w:rPr>
                <w:sz w:val="18"/>
              </w:rPr>
              <w:t>Classification AD coverage</w:t>
            </w:r>
          </w:p>
        </w:tc>
        <w:tc>
          <w:tcPr>
            <w:tcW w:type="dxa" w:w="3249"/>
          </w:tcPr>
          <w:p>
            <w:r>
              <w:rPr>
                <w:sz w:val="18"/>
              </w:rPr>
              <w:t>in-AD %</w:t>
            </w:r>
          </w:p>
        </w:tc>
        <w:tc>
          <w:tcPr>
            <w:tcW w:type="dxa" w:w="3249"/>
          </w:tcPr>
          <w:p>
            <w:r>
              <w:rPr>
                <w:sz w:val="18"/>
              </w:rPr>
              <w:t>78.3</w:t>
            </w:r>
          </w:p>
        </w:tc>
      </w:tr>
    </w:tbl>
    <w:p/>
    <w:p>
      <w:pPr>
        <w:spacing w:after="160"/>
      </w:pPr>
      <w:r>
        <w:rPr>
          <w:rFonts w:ascii="Calibri" w:hAnsi="Calibri"/>
          <w:b w:val="0"/>
          <w:i/>
          <w:sz w:val="20"/>
        </w:rPr>
        <w:t>Table 9. External validation summary after canonical SMILES deduplication.</w:t>
      </w:r>
    </w:p>
    <w:p>
      <w:pPr>
        <w:jc w:val="center"/>
      </w:pPr>
      <w:r>
        <w:drawing>
          <wp:inline xmlns:a="http://schemas.openxmlformats.org/drawingml/2006/main" xmlns:pic="http://schemas.openxmlformats.org/drawingml/2006/picture">
            <wp:extent cx="5120640" cy="2100038"/>
            <wp:docPr id="44" name="Picture 44"/>
            <wp:cNvGraphicFramePr>
              <a:graphicFrameLocks noChangeAspect="1"/>
            </wp:cNvGraphicFramePr>
            <a:graphic>
              <a:graphicData uri="http://schemas.openxmlformats.org/drawingml/2006/picture">
                <pic:pic>
                  <pic:nvPicPr>
                    <pic:cNvPr id="0" name="external_01_pred_vs_exp.png"/>
                    <pic:cNvPicPr/>
                  </pic:nvPicPr>
                  <pic:blipFill>
                    <a:blip r:embed="rId52"/>
                    <a:stretch>
                      <a:fillRect/>
                    </a:stretch>
                  </pic:blipFill>
                  <pic:spPr>
                    <a:xfrm>
                      <a:off x="0" y="0"/>
                      <a:ext cx="5120640" cy="2100038"/>
                    </a:xfrm>
                    <a:prstGeom prst="rect"/>
                  </pic:spPr>
                </pic:pic>
              </a:graphicData>
            </a:graphic>
          </wp:inline>
        </w:drawing>
      </w:r>
    </w:p>
    <w:p>
      <w:pPr>
        <w:spacing w:after="240"/>
        <w:jc w:val="center"/>
      </w:pPr>
      <w:r>
        <w:rPr>
          <w:rFonts w:ascii="Calibri" w:hAnsi="Calibri"/>
          <w:i/>
          <w:sz w:val="20"/>
        </w:rPr>
        <w:t>Figure 44. External validation — predicted vs experimental pMIC (n = 92 unique molecules).</w:t>
      </w:r>
    </w:p>
    <w:p>
      <w:pPr>
        <w:pStyle w:val="Heading2"/>
      </w:pPr>
      <w:r>
        <w:t>3.8 Cascade classification → active-only regression</w:t>
      </w:r>
    </w:p>
    <w:p>
      <w:pPr>
        <w:spacing w:after="160"/>
      </w:pPr>
      <w:r>
        <w:rPr>
          <w:rFonts w:ascii="Calibri" w:hAnsi="Calibri"/>
          <w:b w:val="0"/>
          <w:i w:val="0"/>
          <w:sz w:val="22"/>
        </w:rPr>
        <w:t>The cascade was re-fit on the unique-molecule split. Stage A reused the saved classifier (Test AUC = 0.816; 981 predicted actives vs 405 true actives). Stage B trained an active-only regressor on 2,258 train actives (mean pMIC = 6.62). XGBoost was best by CV R² (0.223). The global regressor still ranked the full test set (R² = 0.432) but failed among true actives (R² = −3.85, RMSE = 1.32). The active-only model recovered usable potency on true test actives (Oracle R² = 0.181, RMSE = 0.543). Pipeline metrics on predicted-actives are degraded by false positives, as expected; among true positives (n = 282) R² = 0.200.</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fill="1F4E79" w:val="clear"/>
          </w:tcPr>
          <w:p>
            <w:r>
              <w:rPr>
                <w:b/>
                <w:color w:val="FFFFFF"/>
                <w:sz w:val="18"/>
              </w:rPr>
              <w:t>Scenario</w:t>
            </w:r>
          </w:p>
        </w:tc>
        <w:tc>
          <w:tcPr>
            <w:tcW w:type="dxa" w:w="1949"/>
            <w:shd w:fill="1F4E79" w:val="clear"/>
          </w:tcPr>
          <w:p>
            <w:r>
              <w:rPr>
                <w:b/>
                <w:color w:val="FFFFFF"/>
                <w:sz w:val="18"/>
              </w:rPr>
              <w:t>n</w:t>
            </w:r>
          </w:p>
        </w:tc>
        <w:tc>
          <w:tcPr>
            <w:tcW w:type="dxa" w:w="1949"/>
            <w:shd w:fill="1F4E79" w:val="clear"/>
          </w:tcPr>
          <w:p>
            <w:r>
              <w:rPr>
                <w:b/>
                <w:color w:val="FFFFFF"/>
                <w:sz w:val="18"/>
              </w:rPr>
              <w:t>R²</w:t>
            </w:r>
          </w:p>
        </w:tc>
        <w:tc>
          <w:tcPr>
            <w:tcW w:type="dxa" w:w="1949"/>
            <w:shd w:fill="1F4E79" w:val="clear"/>
          </w:tcPr>
          <w:p>
            <w:r>
              <w:rPr>
                <w:b/>
                <w:color w:val="FFFFFF"/>
                <w:sz w:val="18"/>
              </w:rPr>
              <w:t>RMSE</w:t>
            </w:r>
          </w:p>
        </w:tc>
        <w:tc>
          <w:tcPr>
            <w:tcW w:type="dxa" w:w="1949"/>
            <w:shd w:fill="1F4E79" w:val="clear"/>
          </w:tcPr>
          <w:p>
            <w:r>
              <w:rPr>
                <w:b/>
                <w:color w:val="FFFFFF"/>
                <w:sz w:val="18"/>
              </w:rPr>
              <w:t>MAE</w:t>
            </w:r>
          </w:p>
        </w:tc>
      </w:tr>
      <w:tr>
        <w:tc>
          <w:tcPr>
            <w:tcW w:type="dxa" w:w="1949"/>
          </w:tcPr>
          <w:p>
            <w:r>
              <w:rPr>
                <w:sz w:val="18"/>
              </w:rPr>
              <w:t>Baseline full-reg, all test</w:t>
            </w:r>
          </w:p>
        </w:tc>
        <w:tc>
          <w:tcPr>
            <w:tcW w:type="dxa" w:w="1949"/>
          </w:tcPr>
          <w:p>
            <w:r>
              <w:rPr>
                <w:sz w:val="18"/>
              </w:rPr>
              <w:t>3837</w:t>
            </w:r>
          </w:p>
        </w:tc>
        <w:tc>
          <w:tcPr>
            <w:tcW w:type="dxa" w:w="1949"/>
          </w:tcPr>
          <w:p>
            <w:r>
              <w:rPr>
                <w:sz w:val="18"/>
              </w:rPr>
              <w:t>0.432</w:t>
            </w:r>
          </w:p>
        </w:tc>
        <w:tc>
          <w:tcPr>
            <w:tcW w:type="dxa" w:w="1949"/>
          </w:tcPr>
          <w:p>
            <w:r>
              <w:rPr>
                <w:sz w:val="18"/>
              </w:rPr>
              <w:t>0.714</w:t>
            </w:r>
          </w:p>
        </w:tc>
        <w:tc>
          <w:tcPr>
            <w:tcW w:type="dxa" w:w="1949"/>
          </w:tcPr>
          <w:p>
            <w:r>
              <w:rPr>
                <w:sz w:val="18"/>
              </w:rPr>
              <w:t>0.532</w:t>
            </w:r>
          </w:p>
        </w:tc>
      </w:tr>
      <w:tr>
        <w:tc>
          <w:tcPr>
            <w:tcW w:type="dxa" w:w="1949"/>
            <w:shd w:fill="F2F2F2" w:val="clear"/>
          </w:tcPr>
          <w:p>
            <w:r>
              <w:rPr>
                <w:sz w:val="18"/>
              </w:rPr>
              <w:t>Baseline full-reg, true actives</w:t>
            </w:r>
          </w:p>
        </w:tc>
        <w:tc>
          <w:tcPr>
            <w:tcW w:type="dxa" w:w="1949"/>
            <w:shd w:fill="F2F2F2" w:val="clear"/>
          </w:tcPr>
          <w:p>
            <w:r>
              <w:rPr>
                <w:sz w:val="18"/>
              </w:rPr>
              <w:t>405</w:t>
            </w:r>
          </w:p>
        </w:tc>
        <w:tc>
          <w:tcPr>
            <w:tcW w:type="dxa" w:w="1949"/>
            <w:shd w:fill="F2F2F2" w:val="clear"/>
          </w:tcPr>
          <w:p>
            <w:r>
              <w:rPr>
                <w:sz w:val="18"/>
              </w:rPr>
              <w:t>−3.853</w:t>
            </w:r>
          </w:p>
        </w:tc>
        <w:tc>
          <w:tcPr>
            <w:tcW w:type="dxa" w:w="1949"/>
            <w:shd w:fill="F2F2F2" w:val="clear"/>
          </w:tcPr>
          <w:p>
            <w:r>
              <w:rPr>
                <w:sz w:val="18"/>
              </w:rPr>
              <w:t>1.322</w:t>
            </w:r>
          </w:p>
        </w:tc>
        <w:tc>
          <w:tcPr>
            <w:tcW w:type="dxa" w:w="1949"/>
            <w:shd w:fill="F2F2F2" w:val="clear"/>
          </w:tcPr>
          <w:p>
            <w:r>
              <w:rPr>
                <w:sz w:val="18"/>
              </w:rPr>
              <w:t>1.074</w:t>
            </w:r>
          </w:p>
        </w:tc>
      </w:tr>
      <w:tr>
        <w:tc>
          <w:tcPr>
            <w:tcW w:type="dxa" w:w="1949"/>
          </w:tcPr>
          <w:p>
            <w:r>
              <w:rPr>
                <w:sz w:val="18"/>
              </w:rPr>
              <w:t>Oracle active-reg (XGBoost), true actives</w:t>
            </w:r>
          </w:p>
        </w:tc>
        <w:tc>
          <w:tcPr>
            <w:tcW w:type="dxa" w:w="1949"/>
          </w:tcPr>
          <w:p>
            <w:r>
              <w:rPr>
                <w:sz w:val="18"/>
              </w:rPr>
              <w:t>405</w:t>
            </w:r>
          </w:p>
        </w:tc>
        <w:tc>
          <w:tcPr>
            <w:tcW w:type="dxa" w:w="1949"/>
          </w:tcPr>
          <w:p>
            <w:r>
              <w:rPr>
                <w:sz w:val="18"/>
              </w:rPr>
              <w:t>0.181</w:t>
            </w:r>
          </w:p>
        </w:tc>
        <w:tc>
          <w:tcPr>
            <w:tcW w:type="dxa" w:w="1949"/>
          </w:tcPr>
          <w:p>
            <w:r>
              <w:rPr>
                <w:sz w:val="18"/>
              </w:rPr>
              <w:t>0.543</w:t>
            </w:r>
          </w:p>
        </w:tc>
        <w:tc>
          <w:tcPr>
            <w:tcW w:type="dxa" w:w="1949"/>
          </w:tcPr>
          <w:p>
            <w:r>
              <w:rPr>
                <w:sz w:val="18"/>
              </w:rPr>
              <w:t>0.380</w:t>
            </w:r>
          </w:p>
        </w:tc>
      </w:tr>
      <w:tr>
        <w:tc>
          <w:tcPr>
            <w:tcW w:type="dxa" w:w="1949"/>
            <w:shd w:fill="F2F2F2" w:val="clear"/>
          </w:tcPr>
          <w:p>
            <w:r>
              <w:rPr>
                <w:sz w:val="18"/>
              </w:rPr>
              <w:t>Pipeline active-reg, pred. actives</w:t>
            </w:r>
          </w:p>
        </w:tc>
        <w:tc>
          <w:tcPr>
            <w:tcW w:type="dxa" w:w="1949"/>
            <w:shd w:fill="F2F2F2" w:val="clear"/>
          </w:tcPr>
          <w:p>
            <w:r>
              <w:rPr>
                <w:sz w:val="18"/>
              </w:rPr>
              <w:t>981</w:t>
            </w:r>
          </w:p>
        </w:tc>
        <w:tc>
          <w:tcPr>
            <w:tcW w:type="dxa" w:w="1949"/>
            <w:shd w:fill="F2F2F2" w:val="clear"/>
          </w:tcPr>
          <w:p>
            <w:r>
              <w:rPr>
                <w:sz w:val="18"/>
              </w:rPr>
              <w:t>−1.072</w:t>
            </w:r>
          </w:p>
        </w:tc>
        <w:tc>
          <w:tcPr>
            <w:tcW w:type="dxa" w:w="1949"/>
            <w:shd w:fill="F2F2F2" w:val="clear"/>
          </w:tcPr>
          <w:p>
            <w:r>
              <w:rPr>
                <w:sz w:val="18"/>
              </w:rPr>
              <w:t>1.529</w:t>
            </w:r>
          </w:p>
        </w:tc>
        <w:tc>
          <w:tcPr>
            <w:tcW w:type="dxa" w:w="1949"/>
            <w:shd w:fill="F2F2F2" w:val="clear"/>
          </w:tcPr>
          <w:p>
            <w:r>
              <w:rPr>
                <w:sz w:val="18"/>
              </w:rPr>
              <w:t>1.277</w:t>
            </w:r>
          </w:p>
        </w:tc>
      </w:tr>
      <w:tr>
        <w:tc>
          <w:tcPr>
            <w:tcW w:type="dxa" w:w="1949"/>
          </w:tcPr>
          <w:p>
            <w:r>
              <w:rPr>
                <w:sz w:val="18"/>
              </w:rPr>
              <w:t>Pipeline true positives only</w:t>
            </w:r>
          </w:p>
        </w:tc>
        <w:tc>
          <w:tcPr>
            <w:tcW w:type="dxa" w:w="1949"/>
          </w:tcPr>
          <w:p>
            <w:r>
              <w:rPr>
                <w:sz w:val="18"/>
              </w:rPr>
              <w:t>282</w:t>
            </w:r>
          </w:p>
        </w:tc>
        <w:tc>
          <w:tcPr>
            <w:tcW w:type="dxa" w:w="1949"/>
          </w:tcPr>
          <w:p>
            <w:r>
              <w:rPr>
                <w:sz w:val="18"/>
              </w:rPr>
              <w:t>0.200</w:t>
            </w:r>
          </w:p>
        </w:tc>
        <w:tc>
          <w:tcPr>
            <w:tcW w:type="dxa" w:w="1949"/>
          </w:tcPr>
          <w:p>
            <w:r>
              <w:rPr>
                <w:sz w:val="18"/>
              </w:rPr>
              <w:t>0.554</w:t>
            </w:r>
          </w:p>
        </w:tc>
        <w:tc>
          <w:tcPr>
            <w:tcW w:type="dxa" w:w="1949"/>
          </w:tcPr>
          <w:p>
            <w:r>
              <w:rPr>
                <w:sz w:val="18"/>
              </w:rPr>
              <w:t>0.397</w:t>
            </w:r>
          </w:p>
        </w:tc>
      </w:tr>
      <w:tr>
        <w:tc>
          <w:tcPr>
            <w:tcW w:type="dxa" w:w="1949"/>
            <w:shd w:fill="F2F2F2" w:val="clear"/>
          </w:tcPr>
          <w:p>
            <w:r>
              <w:rPr>
                <w:sz w:val="18"/>
              </w:rPr>
              <w:t>Hybrid (inactive→5.5) all test</w:t>
            </w:r>
          </w:p>
        </w:tc>
        <w:tc>
          <w:tcPr>
            <w:tcW w:type="dxa" w:w="1949"/>
            <w:shd w:fill="F2F2F2" w:val="clear"/>
          </w:tcPr>
          <w:p>
            <w:r>
              <w:rPr>
                <w:sz w:val="18"/>
              </w:rPr>
              <w:t>3837</w:t>
            </w:r>
          </w:p>
        </w:tc>
        <w:tc>
          <w:tcPr>
            <w:tcW w:type="dxa" w:w="1949"/>
            <w:shd w:fill="F2F2F2" w:val="clear"/>
          </w:tcPr>
          <w:p>
            <w:r>
              <w:rPr>
                <w:sz w:val="18"/>
              </w:rPr>
              <w:t>−0.895</w:t>
            </w:r>
          </w:p>
        </w:tc>
        <w:tc>
          <w:tcPr>
            <w:tcW w:type="dxa" w:w="1949"/>
            <w:shd w:fill="F2F2F2" w:val="clear"/>
          </w:tcPr>
          <w:p>
            <w:r>
              <w:rPr>
                <w:sz w:val="18"/>
              </w:rPr>
              <w:t>1.304</w:t>
            </w:r>
          </w:p>
        </w:tc>
        <w:tc>
          <w:tcPr>
            <w:tcW w:type="dxa" w:w="1949"/>
            <w:shd w:fill="F2F2F2" w:val="clear"/>
          </w:tcPr>
          <w:p>
            <w:r>
              <w:rPr>
                <w:sz w:val="18"/>
              </w:rPr>
              <w:t>1.093</w:t>
            </w:r>
          </w:p>
        </w:tc>
      </w:tr>
    </w:tbl>
    <w:p/>
    <w:p>
      <w:pPr>
        <w:spacing w:after="160"/>
      </w:pPr>
      <w:r>
        <w:rPr>
          <w:rFonts w:ascii="Calibri" w:hAnsi="Calibri"/>
          <w:b w:val="0"/>
          <w:i/>
          <w:sz w:val="20"/>
        </w:rPr>
        <w:t>Table 10. Cascade vs baseline regression on the unique-molecule Butina test set.</w:t>
      </w:r>
    </w:p>
    <w:p>
      <w:pPr>
        <w:jc w:val="center"/>
      </w:pPr>
      <w:r>
        <w:drawing>
          <wp:inline xmlns:a="http://schemas.openxmlformats.org/drawingml/2006/main" xmlns:pic="http://schemas.openxmlformats.org/drawingml/2006/picture">
            <wp:extent cx="5120640" cy="1699226"/>
            <wp:docPr id="45" name="Picture 45"/>
            <wp:cNvGraphicFramePr>
              <a:graphicFrameLocks noChangeAspect="1"/>
            </wp:cNvGraphicFramePr>
            <a:graphic>
              <a:graphicData uri="http://schemas.openxmlformats.org/drawingml/2006/picture">
                <pic:pic>
                  <pic:nvPicPr>
                    <pic:cNvPr id="0" name="cascade_01_pred_vs_exp.png"/>
                    <pic:cNvPicPr/>
                  </pic:nvPicPr>
                  <pic:blipFill>
                    <a:blip r:embed="rId53"/>
                    <a:stretch>
                      <a:fillRect/>
                    </a:stretch>
                  </pic:blipFill>
                  <pic:spPr>
                    <a:xfrm>
                      <a:off x="0" y="0"/>
                      <a:ext cx="5120640" cy="1699226"/>
                    </a:xfrm>
                    <a:prstGeom prst="rect"/>
                  </pic:spPr>
                </pic:pic>
              </a:graphicData>
            </a:graphic>
          </wp:inline>
        </w:drawing>
      </w:r>
    </w:p>
    <w:p>
      <w:pPr>
        <w:spacing w:after="240"/>
        <w:jc w:val="center"/>
      </w:pPr>
      <w:r>
        <w:rPr>
          <w:rFonts w:ascii="Calibri" w:hAnsi="Calibri"/>
          <w:i/>
          <w:sz w:val="20"/>
        </w:rPr>
        <w:t>Figure 45. Cascade vs baseline — predicted vs experimental pMIC (test).</w:t>
      </w:r>
    </w:p>
    <w:p>
      <w:pPr>
        <w:jc w:val="center"/>
      </w:pPr>
      <w:r>
        <w:drawing>
          <wp:inline xmlns:a="http://schemas.openxmlformats.org/drawingml/2006/main" xmlns:pic="http://schemas.openxmlformats.org/drawingml/2006/picture">
            <wp:extent cx="5120640" cy="2512373"/>
            <wp:docPr id="46" name="Picture 46"/>
            <wp:cNvGraphicFramePr>
              <a:graphicFrameLocks noChangeAspect="1"/>
            </wp:cNvGraphicFramePr>
            <a:graphic>
              <a:graphicData uri="http://schemas.openxmlformats.org/drawingml/2006/picture">
                <pic:pic>
                  <pic:nvPicPr>
                    <pic:cNvPr id="0" name="cascade_02_r2_comparison.png"/>
                    <pic:cNvPicPr/>
                  </pic:nvPicPr>
                  <pic:blipFill>
                    <a:blip r:embed="rId54"/>
                    <a:stretch>
                      <a:fillRect/>
                    </a:stretch>
                  </pic:blipFill>
                  <pic:spPr>
                    <a:xfrm>
                      <a:off x="0" y="0"/>
                      <a:ext cx="5120640" cy="2512373"/>
                    </a:xfrm>
                    <a:prstGeom prst="rect"/>
                  </pic:spPr>
                </pic:pic>
              </a:graphicData>
            </a:graphic>
          </wp:inline>
        </w:drawing>
      </w:r>
    </w:p>
    <w:p>
      <w:pPr>
        <w:spacing w:after="240"/>
        <w:jc w:val="center"/>
      </w:pPr>
      <w:r>
        <w:rPr>
          <w:rFonts w:ascii="Calibri" w:hAnsi="Calibri"/>
          <w:i/>
          <w:sz w:val="20"/>
        </w:rPr>
        <w:t>Figure 46. Cascade scenario R² comparison.</w:t>
      </w:r>
    </w:p>
    <w:p>
      <w:pPr>
        <w:spacing w:after="160"/>
      </w:pPr>
      <w:r>
        <w:rPr>
          <w:rFonts w:ascii="Calibri" w:hAnsi="Calibri"/>
          <w:b w:val="0"/>
          <w:i w:val="0"/>
          <w:sz w:val="22"/>
        </w:rPr>
        <w:t>On the unique external set, the global regressor on all 92 molecules remained strong (R² = 0.718), but among the 7 true actives it failed (R² = −5.77, RMSE = 0.559). Oracle active-only regression reduced RMSE to 0.214 (R² ≈ 0.01; n = 7 is too small for a stable R²). Pipeline evaluation on 28 predicted actives was again limited by false positives (R² = −1.67).</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F4E79" w:val="clear"/>
          </w:tcPr>
          <w:p>
            <w:r>
              <w:rPr>
                <w:b/>
                <w:color w:val="FFFFFF"/>
                <w:sz w:val="18"/>
              </w:rPr>
              <w:t>External scenario</w:t>
            </w:r>
          </w:p>
        </w:tc>
        <w:tc>
          <w:tcPr>
            <w:tcW w:type="dxa" w:w="2436"/>
            <w:shd w:fill="1F4E79" w:val="clear"/>
          </w:tcPr>
          <w:p>
            <w:r>
              <w:rPr>
                <w:b/>
                <w:color w:val="FFFFFF"/>
                <w:sz w:val="18"/>
              </w:rPr>
              <w:t>n</w:t>
            </w:r>
          </w:p>
        </w:tc>
        <w:tc>
          <w:tcPr>
            <w:tcW w:type="dxa" w:w="2436"/>
            <w:shd w:fill="1F4E79" w:val="clear"/>
          </w:tcPr>
          <w:p>
            <w:r>
              <w:rPr>
                <w:b/>
                <w:color w:val="FFFFFF"/>
                <w:sz w:val="18"/>
              </w:rPr>
              <w:t>R²</w:t>
            </w:r>
          </w:p>
        </w:tc>
        <w:tc>
          <w:tcPr>
            <w:tcW w:type="dxa" w:w="2436"/>
            <w:shd w:fill="1F4E79" w:val="clear"/>
          </w:tcPr>
          <w:p>
            <w:r>
              <w:rPr>
                <w:b/>
                <w:color w:val="FFFFFF"/>
                <w:sz w:val="18"/>
              </w:rPr>
              <w:t>RMSE</w:t>
            </w:r>
          </w:p>
        </w:tc>
      </w:tr>
      <w:tr>
        <w:tc>
          <w:tcPr>
            <w:tcW w:type="dxa" w:w="2436"/>
          </w:tcPr>
          <w:p>
            <w:r>
              <w:rPr>
                <w:sz w:val="18"/>
              </w:rPr>
              <w:t>Baseline full-reg, all</w:t>
            </w:r>
          </w:p>
        </w:tc>
        <w:tc>
          <w:tcPr>
            <w:tcW w:type="dxa" w:w="2436"/>
          </w:tcPr>
          <w:p>
            <w:r>
              <w:rPr>
                <w:sz w:val="18"/>
              </w:rPr>
              <w:t>92</w:t>
            </w:r>
          </w:p>
        </w:tc>
        <w:tc>
          <w:tcPr>
            <w:tcW w:type="dxa" w:w="2436"/>
          </w:tcPr>
          <w:p>
            <w:r>
              <w:rPr>
                <w:sz w:val="18"/>
              </w:rPr>
              <w:t>0.718</w:t>
            </w:r>
          </w:p>
        </w:tc>
        <w:tc>
          <w:tcPr>
            <w:tcW w:type="dxa" w:w="2436"/>
          </w:tcPr>
          <w:p>
            <w:r>
              <w:rPr>
                <w:sz w:val="18"/>
              </w:rPr>
              <w:t>0.455</w:t>
            </w:r>
          </w:p>
        </w:tc>
      </w:tr>
      <w:tr>
        <w:tc>
          <w:tcPr>
            <w:tcW w:type="dxa" w:w="2436"/>
            <w:shd w:fill="F2F2F2" w:val="clear"/>
          </w:tcPr>
          <w:p>
            <w:r>
              <w:rPr>
                <w:sz w:val="18"/>
              </w:rPr>
              <w:t>Baseline full-reg, true actives</w:t>
            </w:r>
          </w:p>
        </w:tc>
        <w:tc>
          <w:tcPr>
            <w:tcW w:type="dxa" w:w="2436"/>
            <w:shd w:fill="F2F2F2" w:val="clear"/>
          </w:tcPr>
          <w:p>
            <w:r>
              <w:rPr>
                <w:sz w:val="18"/>
              </w:rPr>
              <w:t>7</w:t>
            </w:r>
          </w:p>
        </w:tc>
        <w:tc>
          <w:tcPr>
            <w:tcW w:type="dxa" w:w="2436"/>
            <w:shd w:fill="F2F2F2" w:val="clear"/>
          </w:tcPr>
          <w:p>
            <w:r>
              <w:rPr>
                <w:sz w:val="18"/>
              </w:rPr>
              <w:t>−5.773</w:t>
            </w:r>
          </w:p>
        </w:tc>
        <w:tc>
          <w:tcPr>
            <w:tcW w:type="dxa" w:w="2436"/>
            <w:shd w:fill="F2F2F2" w:val="clear"/>
          </w:tcPr>
          <w:p>
            <w:r>
              <w:rPr>
                <w:sz w:val="18"/>
              </w:rPr>
              <w:t>0.559</w:t>
            </w:r>
          </w:p>
        </w:tc>
      </w:tr>
      <w:tr>
        <w:tc>
          <w:tcPr>
            <w:tcW w:type="dxa" w:w="2436"/>
          </w:tcPr>
          <w:p>
            <w:r>
              <w:rPr>
                <w:sz w:val="18"/>
              </w:rPr>
              <w:t>Oracle active-reg, true actives</w:t>
            </w:r>
          </w:p>
        </w:tc>
        <w:tc>
          <w:tcPr>
            <w:tcW w:type="dxa" w:w="2436"/>
          </w:tcPr>
          <w:p>
            <w:r>
              <w:rPr>
                <w:sz w:val="18"/>
              </w:rPr>
              <w:t>7</w:t>
            </w:r>
          </w:p>
        </w:tc>
        <w:tc>
          <w:tcPr>
            <w:tcW w:type="dxa" w:w="2436"/>
          </w:tcPr>
          <w:p>
            <w:r>
              <w:rPr>
                <w:sz w:val="18"/>
              </w:rPr>
              <w:t>0.009</w:t>
            </w:r>
          </w:p>
        </w:tc>
        <w:tc>
          <w:tcPr>
            <w:tcW w:type="dxa" w:w="2436"/>
          </w:tcPr>
          <w:p>
            <w:r>
              <w:rPr>
                <w:sz w:val="18"/>
              </w:rPr>
              <w:t>0.214</w:t>
            </w:r>
          </w:p>
        </w:tc>
      </w:tr>
      <w:tr>
        <w:tc>
          <w:tcPr>
            <w:tcW w:type="dxa" w:w="2436"/>
            <w:shd w:fill="F2F2F2" w:val="clear"/>
          </w:tcPr>
          <w:p>
            <w:r>
              <w:rPr>
                <w:sz w:val="18"/>
              </w:rPr>
              <w:t>Pipeline active-reg, pred. actives</w:t>
            </w:r>
          </w:p>
        </w:tc>
        <w:tc>
          <w:tcPr>
            <w:tcW w:type="dxa" w:w="2436"/>
            <w:shd w:fill="F2F2F2" w:val="clear"/>
          </w:tcPr>
          <w:p>
            <w:r>
              <w:rPr>
                <w:sz w:val="18"/>
              </w:rPr>
              <w:t>28</w:t>
            </w:r>
          </w:p>
        </w:tc>
        <w:tc>
          <w:tcPr>
            <w:tcW w:type="dxa" w:w="2436"/>
            <w:shd w:fill="F2F2F2" w:val="clear"/>
          </w:tcPr>
          <w:p>
            <w:r>
              <w:rPr>
                <w:sz w:val="18"/>
              </w:rPr>
              <w:t>−1.675</w:t>
            </w:r>
          </w:p>
        </w:tc>
        <w:tc>
          <w:tcPr>
            <w:tcW w:type="dxa" w:w="2436"/>
            <w:shd w:fill="F2F2F2" w:val="clear"/>
          </w:tcPr>
          <w:p>
            <w:r>
              <w:rPr>
                <w:sz w:val="18"/>
              </w:rPr>
              <w:t>0.880</w:t>
            </w:r>
          </w:p>
        </w:tc>
      </w:tr>
    </w:tbl>
    <w:p/>
    <w:p>
      <w:pPr>
        <w:spacing w:after="160"/>
      </w:pPr>
      <w:r>
        <w:rPr>
          <w:rFonts w:ascii="Calibri" w:hAnsi="Calibri"/>
          <w:b w:val="0"/>
          <w:i/>
          <w:sz w:val="20"/>
        </w:rPr>
        <w:t>Table 11. Cascade external validation (canonical unique molecules).</w:t>
      </w:r>
    </w:p>
    <w:p>
      <w:pPr>
        <w:pStyle w:val="Heading2"/>
      </w:pPr>
      <w:r>
        <w:t>3.9 Library screens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1F4E79" w:val="clear"/>
          </w:tcPr>
          <w:p>
            <w:r>
              <w:rPr>
                <w:b/>
                <w:color w:val="FFFFFF"/>
                <w:sz w:val="18"/>
              </w:rPr>
              <w:t>Library</w:t>
            </w:r>
          </w:p>
        </w:tc>
        <w:tc>
          <w:tcPr>
            <w:tcW w:type="dxa" w:w="2436"/>
            <w:shd w:fill="1F4E79" w:val="clear"/>
          </w:tcPr>
          <w:p>
            <w:r>
              <w:rPr>
                <w:b/>
                <w:color w:val="FFFFFF"/>
                <w:sz w:val="18"/>
              </w:rPr>
              <w:t>Output</w:t>
            </w:r>
          </w:p>
        </w:tc>
        <w:tc>
          <w:tcPr>
            <w:tcW w:type="dxa" w:w="2436"/>
            <w:shd w:fill="1F4E79" w:val="clear"/>
          </w:tcPr>
          <w:p>
            <w:r>
              <w:rPr>
                <w:b/>
                <w:color w:val="FFFFFF"/>
                <w:sz w:val="18"/>
              </w:rPr>
              <w:t>Predicted</w:t>
            </w:r>
          </w:p>
        </w:tc>
        <w:tc>
          <w:tcPr>
            <w:tcW w:type="dxa" w:w="2436"/>
            <w:shd w:fill="1F4E79" w:val="clear"/>
          </w:tcPr>
          <w:p>
            <w:r>
              <w:rPr>
                <w:b/>
                <w:color w:val="FFFFFF"/>
                <w:sz w:val="18"/>
              </w:rPr>
              <w:t>Notes</w:t>
            </w:r>
          </w:p>
        </w:tc>
      </w:tr>
      <w:tr>
        <w:tc>
          <w:tcPr>
            <w:tcW w:type="dxa" w:w="2436"/>
          </w:tcPr>
          <w:p>
            <w:r>
              <w:rPr>
                <w:sz w:val="18"/>
              </w:rPr>
              <w:t>Approved drugs</w:t>
            </w:r>
          </w:p>
        </w:tc>
        <w:tc>
          <w:tcPr>
            <w:tcW w:type="dxa" w:w="2436"/>
          </w:tcPr>
          <w:p>
            <w:r>
              <w:rPr>
                <w:sz w:val="18"/>
              </w:rPr>
              <w:t>approved_pmic.xlsx</w:t>
            </w:r>
          </w:p>
        </w:tc>
        <w:tc>
          <w:tcPr>
            <w:tcW w:type="dxa" w:w="2436"/>
          </w:tcPr>
          <w:p>
            <w:r>
              <w:rPr>
                <w:sz w:val="18"/>
              </w:rPr>
              <w:t>14,605</w:t>
            </w:r>
          </w:p>
        </w:tc>
        <w:tc>
          <w:tcPr>
            <w:tcW w:type="dxa" w:w="2436"/>
          </w:tcPr>
          <w:p>
            <w:r>
              <w:rPr>
                <w:sz w:val="18"/>
              </w:rPr>
              <w:t>875 skipped; 98.7% in regression AD</w:t>
            </w:r>
          </w:p>
        </w:tc>
      </w:tr>
      <w:tr>
        <w:tc>
          <w:tcPr>
            <w:tcW w:type="dxa" w:w="2436"/>
            <w:shd w:fill="F2F2F2" w:val="clear"/>
          </w:tcPr>
          <w:p>
            <w:r>
              <w:rPr>
                <w:sz w:val="18"/>
              </w:rPr>
              <w:t>4FDN natural products</w:t>
            </w:r>
          </w:p>
        </w:tc>
        <w:tc>
          <w:tcPr>
            <w:tcW w:type="dxa" w:w="2436"/>
            <w:shd w:fill="F2F2F2" w:val="clear"/>
          </w:tcPr>
          <w:p>
            <w:r>
              <w:rPr>
                <w:sz w:val="18"/>
              </w:rPr>
              <w:t>4FDN-Natural-products-dock_pmic.xlsx</w:t>
            </w:r>
          </w:p>
        </w:tc>
        <w:tc>
          <w:tcPr>
            <w:tcW w:type="dxa" w:w="2436"/>
            <w:shd w:fill="F2F2F2" w:val="clear"/>
          </w:tcPr>
          <w:p>
            <w:r>
              <w:rPr>
                <w:sz w:val="18"/>
              </w:rPr>
              <w:t>1,923</w:t>
            </w:r>
          </w:p>
        </w:tc>
        <w:tc>
          <w:tcPr>
            <w:tcW w:type="dxa" w:w="2436"/>
            <w:shd w:fill="F2F2F2" w:val="clear"/>
          </w:tcPr>
          <w:p>
            <w:r>
              <w:rPr>
                <w:sz w:val="18"/>
              </w:rPr>
              <w:t>5 skipped; 100% unique mols in regression AD (n=799 unique)</w:t>
            </w:r>
          </w:p>
        </w:tc>
      </w:tr>
      <w:tr>
        <w:tc>
          <w:tcPr>
            <w:tcW w:type="dxa" w:w="2436"/>
          </w:tcPr>
          <w:p>
            <w:r>
              <w:rPr>
                <w:sz w:val="18"/>
              </w:rPr>
              <w:t>CyanoMetDB V03 2024</w:t>
            </w:r>
          </w:p>
        </w:tc>
        <w:tc>
          <w:tcPr>
            <w:tcW w:type="dxa" w:w="2436"/>
          </w:tcPr>
          <w:p>
            <w:r>
              <w:rPr>
                <w:sz w:val="18"/>
              </w:rPr>
              <w:t>CyanoMetDB_V03_2024_pmic.xlsx</w:t>
            </w:r>
          </w:p>
        </w:tc>
        <w:tc>
          <w:tcPr>
            <w:tcW w:type="dxa" w:w="2436"/>
          </w:tcPr>
          <w:p>
            <w:r>
              <w:rPr>
                <w:sz w:val="18"/>
              </w:rPr>
              <w:t>3,059</w:t>
            </w:r>
          </w:p>
        </w:tc>
        <w:tc>
          <w:tcPr>
            <w:tcW w:type="dxa" w:w="2436"/>
          </w:tcPr>
          <w:p>
            <w:r>
              <w:rPr>
                <w:sz w:val="18"/>
              </w:rPr>
              <w:t>184 skipped; 96.5% in regression AD</w:t>
            </w:r>
          </w:p>
        </w:tc>
      </w:tr>
      <w:tr>
        <w:tc>
          <w:tcPr>
            <w:tcW w:type="dxa" w:w="2436"/>
            <w:shd w:fill="F2F2F2" w:val="clear"/>
          </w:tcPr>
          <w:p>
            <w:r>
              <w:rPr>
                <w:sz w:val="18"/>
              </w:rPr>
              <w:t>COCONUT 07-2026</w:t>
            </w:r>
          </w:p>
        </w:tc>
        <w:tc>
          <w:tcPr>
            <w:tcW w:type="dxa" w:w="2436"/>
            <w:shd w:fill="F2F2F2" w:val="clear"/>
          </w:tcPr>
          <w:p>
            <w:r>
              <w:rPr>
                <w:sz w:val="18"/>
              </w:rPr>
              <w:t>coconut_csv-07-2026_pmic.csv</w:t>
            </w:r>
          </w:p>
        </w:tc>
        <w:tc>
          <w:tcPr>
            <w:tcW w:type="dxa" w:w="2436"/>
            <w:shd w:fill="F2F2F2" w:val="clear"/>
          </w:tcPr>
          <w:p>
            <w:r>
              <w:rPr>
                <w:sz w:val="18"/>
              </w:rPr>
              <w:t>738,820</w:t>
            </w:r>
          </w:p>
        </w:tc>
        <w:tc>
          <w:tcPr>
            <w:tcW w:type="dxa" w:w="2436"/>
            <w:shd w:fill="F2F2F2" w:val="clear"/>
          </w:tcPr>
          <w:p>
            <w:r>
              <w:rPr>
                <w:sz w:val="18"/>
              </w:rPr>
              <w:t>AD scored in this run (98.6% in-AD); pMIC CSV from the prior screen</w:t>
            </w:r>
          </w:p>
        </w:tc>
      </w:tr>
    </w:tbl>
    <w:p/>
    <w:p>
      <w:pPr>
        <w:spacing w:after="160"/>
      </w:pPr>
      <w:r>
        <w:rPr>
          <w:rFonts w:ascii="Calibri" w:hAnsi="Calibri"/>
          <w:b w:val="0"/>
          <w:i/>
          <w:sz w:val="20"/>
        </w:rPr>
        <w:t>Table 12. Virtual screening outputs. AD percentages refer to unique valid structures in Table 7.</w:t>
      </w:r>
    </w:p>
    <w:p>
      <w:pPr>
        <w:pStyle w:val="Heading1"/>
      </w:pPr>
      <w:r>
        <w:t>4. Discussion and limitations</w:t>
      </w:r>
    </w:p>
    <w:p>
      <w:pPr>
        <w:pStyle w:val="ListBullet"/>
      </w:pPr>
      <w:r>
        <w:rPr>
          <w:rFonts w:ascii="Calibri" w:hAnsi="Calibri"/>
          <w:sz w:val="22"/>
        </w:rPr>
        <w:t>Canonical SMILES duplicate collapse halved the apparent sample (35,948 → 19,183) and is a prerequisite for claiming that each training point is a distinct molecule. Mean pMIC was used where replicate measurements disagreed (4,204 groups).</w:t>
      </w:r>
    </w:p>
    <w:p>
      <w:pPr>
        <w:pStyle w:val="ListBullet"/>
      </w:pPr>
      <w:r>
        <w:rPr>
          <w:rFonts w:ascii="Calibri" w:hAnsi="Calibri"/>
          <w:sz w:val="22"/>
        </w:rPr>
        <w:t>Butina/Tanimoto splitting is substantially harder than random split and better reflects generalization to unseen chemotypes. After unique-molecule modeling, Test R² rose to 0.43 versus ~0.32 on the previous non-deduplicated table.</w:t>
      </w:r>
    </w:p>
    <w:p>
      <w:pPr>
        <w:pStyle w:val="ListBullet"/>
      </w:pPr>
      <w:r>
        <w:rPr>
          <w:rFonts w:ascii="Calibri" w:hAnsi="Calibri"/>
          <w:sz w:val="22"/>
        </w:rPr>
        <w:t>Cutoff 6.0 is preferred over 5.5 for classification claims because of higher CV AUC, despite fewer external actives (7 of 92).</w:t>
      </w:r>
    </w:p>
    <w:p>
      <w:pPr>
        <w:pStyle w:val="ListBullet"/>
      </w:pPr>
      <w:r>
        <w:rPr>
          <w:rFonts w:ascii="Calibri" w:hAnsi="Calibri"/>
          <w:sz w:val="22"/>
        </w:rPr>
        <w:t>Most screening compounds are inside the leverage AD, so domain shift is not the main caveat for those libraries; Test and classification-space External coverage are the stricter checks.</w:t>
      </w:r>
    </w:p>
    <w:p>
      <w:pPr>
        <w:pStyle w:val="ListBullet"/>
      </w:pPr>
      <w:r>
        <w:rPr>
          <w:rFonts w:ascii="Calibri" w:hAnsi="Calibri"/>
          <w:sz w:val="22"/>
        </w:rPr>
        <w:t>SHAP fingerprint highlights are correlative attributions, not causal proofs.</w:t>
      </w:r>
    </w:p>
    <w:p>
      <w:pPr>
        <w:pStyle w:val="ListBullet"/>
      </w:pPr>
      <w:r>
        <w:rPr>
          <w:rFonts w:ascii="Calibri" w:hAnsi="Calibri"/>
          <w:sz w:val="22"/>
        </w:rPr>
        <w:t>Classification Test F1 remains modest because of class imbalance; use probability ranking (AUC 0.816 test / 0.923 external) for prioritization.</w:t>
      </w:r>
    </w:p>
    <w:p>
      <w:pPr>
        <w:pStyle w:val="ListBullet"/>
      </w:pPr>
      <w:r>
        <w:rPr>
          <w:rFonts w:ascii="Calibri" w:hAnsi="Calibri"/>
          <w:sz w:val="22"/>
        </w:rPr>
        <w:t>Global regression is useful for overall ranking but miscalibrates among strong actives; cascade active-only regression (XGBoost) improves potency RMSE on true actives (Oracle) and should be applied after classification in screening workflows. Pipeline cascade metrics are sensitive to false positives—report Oracle and Pipeline separately.</w:t>
      </w:r>
    </w:p>
    <w:p>
      <w:pPr>
        <w:pStyle w:val="Heading1"/>
      </w:pPr>
      <w:r>
        <w:t>5. Key deliverables</w:t>
      </w:r>
    </w:p>
    <w:p>
      <w:pPr>
        <w:pStyle w:val="ListBullet"/>
      </w:pPr>
      <w:r>
        <w:rPr>
          <w:rFonts w:ascii="Calibri" w:hAnsi="Calibri"/>
          <w:sz w:val="22"/>
        </w:rPr>
        <w:t>cache_features_butina_canonical.joblib (unique-molecule features and Butina split)</w:t>
      </w:r>
    </w:p>
    <w:p>
      <w:pPr>
        <w:pStyle w:val="ListBullet"/>
      </w:pPr>
      <w:r>
        <w:rPr>
          <w:rFonts w:ascii="Calibri" w:hAnsi="Calibri"/>
          <w:sz w:val="22"/>
        </w:rPr>
        <w:t>best_reg_model.joblib / best_cls_model.joblib (T = 6)</w:t>
      </w:r>
    </w:p>
    <w:p>
      <w:pPr>
        <w:pStyle w:val="ListBullet"/>
      </w:pPr>
      <w:r>
        <w:rPr>
          <w:rFonts w:ascii="Calibri" w:hAnsi="Calibri"/>
          <w:sz w:val="22"/>
        </w:rPr>
        <w:t>best_reg_active_only_model.joblib / cascade_cls_reg_model.joblib</w:t>
      </w:r>
    </w:p>
    <w:p>
      <w:pPr>
        <w:pStyle w:val="ListBullet"/>
      </w:pPr>
      <w:r>
        <w:rPr>
          <w:rFonts w:ascii="Calibri" w:hAnsi="Calibri"/>
          <w:sz w:val="22"/>
        </w:rPr>
        <w:t>cascade_cls_reg_metrics.csv / cascade_test_predictions.xlsx / cascade_external_*</w:t>
      </w:r>
    </w:p>
    <w:p>
      <w:pPr>
        <w:pStyle w:val="ListBullet"/>
      </w:pPr>
      <w:r>
        <w:rPr>
          <w:rFonts w:ascii="Calibri" w:hAnsi="Calibri"/>
          <w:sz w:val="22"/>
        </w:rPr>
        <w:t>preprocessed_data.xlsx (n = 19,183; Split, roles, Butina_cluster)</w:t>
      </w:r>
    </w:p>
    <w:p>
      <w:pPr>
        <w:pStyle w:val="ListBullet"/>
      </w:pPr>
      <w:r>
        <w:rPr>
          <w:rFonts w:ascii="Calibri" w:hAnsi="Calibri"/>
          <w:sz w:val="22"/>
        </w:rPr>
        <w:t>plots/ including Williams overlays and ad_dataset_coverage.png / cls_ad_dataset_coverage.png</w:t>
      </w:r>
    </w:p>
    <w:p>
      <w:pPr>
        <w:pStyle w:val="ListBullet"/>
      </w:pPr>
      <w:r>
        <w:rPr>
          <w:rFonts w:ascii="Calibri" w:hAnsi="Calibri"/>
          <w:sz w:val="22"/>
        </w:rPr>
        <w:t>ad_coverage_summary.csv</w:t>
      </w:r>
    </w:p>
    <w:p>
      <w:pPr>
        <w:pStyle w:val="ListBullet"/>
      </w:pPr>
      <w:r>
        <w:rPr>
          <w:rFonts w:ascii="Calibri" w:hAnsi="Calibri"/>
          <w:sz w:val="22"/>
        </w:rPr>
        <w:t>external_validation_predictions.xlsx (n = 92)</w:t>
      </w:r>
    </w:p>
    <w:p>
      <w:pPr>
        <w:pStyle w:val="ListBullet"/>
      </w:pPr>
      <w:r>
        <w:rPr>
          <w:rFonts w:ascii="Calibri" w:hAnsi="Calibri"/>
          <w:sz w:val="22"/>
        </w:rPr>
        <w:t>approved_pmic.xlsx, 4FDN-Natural-products-dock_pmic.xlsx, CyanoMetDB_V03_2024_pmic.xlsx</w:t>
      </w:r>
    </w:p>
    <w:p>
      <w:pPr>
        <w:pStyle w:val="ListBullet"/>
      </w:pPr>
      <w:r>
        <w:rPr>
          <w:rFonts w:ascii="Calibri" w:hAnsi="Calibri"/>
          <w:sz w:val="22"/>
        </w:rPr>
        <w:t>coconut_csv-07-2026_pmic.csv (prior screen; AD coverage computed in this run)</w:t>
      </w:r>
    </w:p>
    <w:p>
      <w:pPr>
        <w:pStyle w:val="Heading1"/>
      </w:pPr>
      <w:r>
        <w:t>6. Conclusions</w:t>
      </w:r>
    </w:p>
    <w:p>
      <w:pPr>
        <w:spacing w:after="160"/>
      </w:pPr>
      <w:r>
        <w:rPr>
          <w:rFonts w:ascii="Calibri" w:hAnsi="Calibri"/>
          <w:b w:val="0"/>
          <w:i w:val="0"/>
          <w:sz w:val="22"/>
        </w:rPr>
        <w:t>A scaffold-aware multi-fingerprint pipeline was established for antimycobacterial pMIC modeling after canonical SMILES standardization and duplicate collapse (n = 19,183 unique molecules). Under Butina splits, stacking regression reached Test R² = 0.43 and classification at pMIC ≥ 6 achieved Test ROC-AUC = 0.82 with strong external validation (R² = 0.72; AUC = 0.92 on 92 unique external molecules). Williams AD analysis showed 91% of the external set and &gt;92% of screening libraries (including COCONUT) inside the leverage domain of the training chemistry, while the held-out Butina test set was more challenging (79–84% in-AD). Cascade active-only regression (XGBoost) improved potency RMSE among true test actives relative to the global regressor (Oracle RMSE 0.54 vs 1.32) and is recommended as a second stage after activity filtering. Fingerprint highlights and library screens provide hypotheses for drug-repurposing prioritization.</w:t>
      </w:r>
    </w:p>
    <w:p>
      <w:pPr>
        <w:jc w:val="center"/>
      </w:pPr>
      <w:r>
        <w:rPr>
          <w:i/>
          <w:color w:val="646464"/>
          <w:sz w:val="18"/>
        </w:rPr>
        <w:br/>
        <w:t>— End of report —</w:t>
        <w:br/>
        <w:t>Generated from pipeline v3 after canonical SMILES deduplication, cascade retrain on the unique-molecule split, Williams AD coverage (including COCONUT), and library screens.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