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Operations Business Process Flow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SNX-OPS-PRC-01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Operations Business Process Flow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SNX-OPS-PRC-01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Proses Inti Operation</w:t>
            <w:br/>
            <w:t xml:space="preserve">6.2 Gate Serah Terima Sales sampai Operation</w:t>
            <w:br/>
            <w:t xml:space="preserve">6.3 Pengendalian Proses</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memetakan proses bisnis Divisi Operation SINUX, dari kontrak ditandatangani sampai layanan berjalan, diukur, dan diperbaiki. Peta ini menjadi rujukan pendekatan proses ISO 9001:2015 klausul 4.4 dan perencanaan operasional ISO/IEC 27001:2022 klausul 8.1. Setiap tahap menyebut pemilik, input, output, dan record yang menjadi bukti audit.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berlaku untuk seluruh layanan yang dikelola Divisi Operation (NOC, SOC, serta SD dan PM):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Nusagrid Public Cloud dan Private Cloud (IaaS, VM, storage).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infrastruktur, termasuk fleet WHM dan cPanel pelanggan pemerintah.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dan DR berbasis Acronis.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Observability Nusametric dan monitoring Overseer.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Security operations (SOC 24/7), WAF (AegisWAF, Cloudflare), dan SIEM (Wazuh).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Proyek implementasi dan migrasi untuk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1 (penjualan dan kontrak) dimiliki VP Commercial dan dipetakan di sini hanya sampai paket handover G1.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ruang lingkup: app-level pelanggan (isi aplikasi, plugin, database aplikasi, kode pelanggan), keputusan harga dan komersial, serta SOC yang menurut kontrak menjadi tanggung jawab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pendukung proses ini adalah Nusametric, Overseer, console Nusagrid, Wazuh, AegisWAF, Cloudflare, EDR, Acronis Cyber Protect, Zammad, Service Hub, password manager (vault), Jumphost, dan Google Drive SINUX.</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dalam dokumen ini disebut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Operation</w:t>
            </w:r>
          </w:p>
        </w:tc>
        <w:tc>
          <w:tcPr>
            <w:tcW w:w="6803" w:type="dxa"/>
            <w:vAlign w:val="center"/>
          </w:tcPr>
          <w:p w14:paraId="6E842649" w14:textId="12DD9EBE" w:rsidR="00330634" w:rsidRDefault="00330634">
            <w:pPr>
              <w:rPr>
                <w:sz w:val="24"/>
                <w:szCs w:val="24"/>
              </w:rPr>
            </w:pPr>
            <w:r>
              <w:rPr>
                <w:b w:val="0"/>
                <w:sz w:val="24"/>
                <w:szCs w:val="24"/>
              </w:rPr>
              <w:t>Divisi Operation SINUX, terdiri atas tiga sub divisi: NOC, SOC, serta SD dan PM.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Network Operations Center, sub divisi Operation yang memantau dashboard layanan dan menangani ticket.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Security Operations Center, sub divisi Operation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SD dan PM</w:t>
            </w:r>
          </w:p>
        </w:tc>
        <w:tc>
          <w:tcPr>
            <w:tcW w:w="6803" w:type="dxa"/>
            <w:vAlign w:val="center"/>
          </w:tcPr>
          <w:p w14:paraId="6E842649" w14:textId="12DD9EBE" w:rsidR="00330634" w:rsidRDefault="00330634">
            <w:pPr>
              <w:rPr>
                <w:sz w:val="24"/>
                <w:szCs w:val="24"/>
              </w:rPr>
            </w:pPr>
            <w:r>
              <w:rPr>
                <w:b w:val="0"/>
                <w:sz w:val="24"/>
                <w:szCs w:val="24"/>
              </w:rPr>
              <w:t>Service Delivery dan Project Management, sub divisi Operation yang menjalankan proyek implementasi dan migrasi untuk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SINUX yang menangani penjualan, harga, dan kontrak, dipimpin VP Commercial.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Divisi Operation</w:t>
            </w:r>
          </w:p>
        </w:tc>
        <w:tc>
          <w:tcPr>
            <w:tcW w:w="6803" w:type="dxa"/>
            <w:vAlign w:val="center"/>
          </w:tcPr>
          <w:p w14:paraId="6E842649" w14:textId="12DD9EBE" w:rsidR="00330634" w:rsidRDefault="00330634">
            <w:pPr>
              <w:rPr>
                <w:sz w:val="24"/>
                <w:szCs w:val="24"/>
              </w:rPr>
            </w:pPr>
            <w:r>
              <w:rPr>
                <w:b w:val="0"/>
                <w:sz w:val="24"/>
                <w:szCs w:val="24"/>
              </w:rPr>
              <w:t>Head of Operation, Lead NOC, Lead SOC, Service Delivery Manager, dan Project Manager. Kelimanya belum punya pemegang bernama dan masih berstatus usulan di POL-OPS-001 dan SNX-HR-ORG-01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Deal</w:t>
            </w:r>
          </w:p>
        </w:tc>
        <w:tc>
          <w:tcPr>
            <w:tcW w:w="6803" w:type="dxa"/>
            <w:vAlign w:val="center"/>
          </w:tcPr>
          <w:p w14:paraId="6E842649" w14:textId="12DD9EBE" w:rsidR="00330634" w:rsidRDefault="00330634">
            <w:pPr>
              <w:rPr>
                <w:sz w:val="24"/>
                <w:szCs w:val="24"/>
              </w:rPr>
            </w:pPr>
            <w:r>
              <w:rPr>
                <w:b w:val="0"/>
                <w:sz w:val="24"/>
                <w:szCs w:val="24"/>
              </w:rPr>
              <w:t>Peluang penjualan layanan SINUX kepada satu pelanggan, sejak prospek sampai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Proses inti</w:t>
            </w:r>
          </w:p>
        </w:tc>
        <w:tc>
          <w:tcPr>
            <w:tcW w:w="6803" w:type="dxa"/>
            <w:vAlign w:val="center"/>
          </w:tcPr>
          <w:p w14:paraId="6E842649" w14:textId="12DD9EBE" w:rsidR="00330634" w:rsidRDefault="00330634">
            <w:pPr>
              <w:rPr>
                <w:sz w:val="24"/>
                <w:szCs w:val="24"/>
              </w:rPr>
            </w:pPr>
            <w:r>
              <w:rPr>
                <w:b w:val="0"/>
                <w:sz w:val="24"/>
                <w:szCs w:val="24"/>
              </w:rPr>
              <w:t>Delapan proses Operation yang berurutan, dari penjualan dan kontrak sampai perbaikan.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Proses pendukung</w:t>
            </w:r>
          </w:p>
        </w:tc>
        <w:tc>
          <w:tcPr>
            <w:tcW w:w="6803" w:type="dxa"/>
            <w:vAlign w:val="center"/>
          </w:tcPr>
          <w:p w14:paraId="6E842649" w14:textId="12DD9EBE" w:rsidR="00330634" w:rsidRDefault="00330634">
            <w:pPr>
              <w:rPr>
                <w:sz w:val="24"/>
                <w:szCs w:val="24"/>
              </w:rPr>
            </w:pPr>
            <w:r>
              <w:rPr>
                <w:b w:val="0"/>
                <w:sz w:val="24"/>
                <w:szCs w:val="24"/>
              </w:rPr>
              <w:t>Proses sistem manajemen keamanan informasi (ISMS) yang berjalan bersama proses inti. Daftarnya tercantum di tabel Dokumen terkait.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Uraian proses (SIPOC)</w:t>
            </w:r>
          </w:p>
        </w:tc>
        <w:tc>
          <w:tcPr>
            <w:tcW w:w="6803" w:type="dxa"/>
            <w:vAlign w:val="center"/>
          </w:tcPr>
          <w:p w14:paraId="6E842649" w14:textId="12DD9EBE" w:rsidR="00330634" w:rsidRDefault="00330634">
            <w:pPr>
              <w:rPr>
                <w:sz w:val="24"/>
                <w:szCs w:val="24"/>
              </w:rPr>
            </w:pPr>
            <w:r>
              <w:rPr>
                <w:b w:val="0"/>
                <w:sz w:val="24"/>
                <w:szCs w:val="24"/>
              </w:rPr>
              <w:t>Uraian tiap proses inti yang memuat pemilik, input, output, pelanggan proses, prosedur, dan record bukti.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proses</w:t>
            </w:r>
          </w:p>
        </w:tc>
        <w:tc>
          <w:tcPr>
            <w:tcW w:w="6803" w:type="dxa"/>
            <w:vAlign w:val="center"/>
          </w:tcPr>
          <w:p w14:paraId="6E842649" w14:textId="12DD9EBE" w:rsidR="00330634" w:rsidRDefault="00330634">
            <w:pPr>
              <w:rPr>
                <w:sz w:val="24"/>
                <w:szCs w:val="24"/>
              </w:rPr>
            </w:pPr>
            <w:r>
              <w:rPr>
                <w:b w:val="0"/>
                <w:sz w:val="24"/>
                <w:szCs w:val="24"/>
              </w:rPr>
              <w:t>Peran yang bertanggung jawab atas kinerja dan dokumen satu proses inti.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gate</w:t>
            </w:r>
          </w:p>
        </w:tc>
        <w:tc>
          <w:tcPr>
            <w:tcW w:w="6803" w:type="dxa"/>
            <w:vAlign w:val="center"/>
          </w:tcPr>
          <w:p w14:paraId="6E842649" w14:textId="12DD9EBE" w:rsidR="00330634" w:rsidRDefault="00330634">
            <w:pPr>
              <w:rPr>
                <w:sz w:val="24"/>
                <w:szCs w:val="24"/>
              </w:rPr>
            </w:pPr>
            <w:r>
              <w:rPr>
                <w:b w:val="0"/>
                <w:sz w:val="24"/>
                <w:szCs w:val="24"/>
              </w:rPr>
              <w:t>Peran yang menyatakan sebuah gate lolos atau belum. Pemilik gate tidak selalu sama dengan pemilik proses.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Pelanggan proses</w:t>
            </w:r>
          </w:p>
        </w:tc>
        <w:tc>
          <w:tcPr>
            <w:tcW w:w="6803" w:type="dxa"/>
            <w:vAlign w:val="center"/>
          </w:tcPr>
          <w:p w14:paraId="6E842649" w14:textId="12DD9EBE" w:rsidR="00330634" w:rsidRDefault="00330634">
            <w:pPr>
              <w:rPr>
                <w:sz w:val="24"/>
                <w:szCs w:val="24"/>
              </w:rPr>
            </w:pPr>
            <w:r>
              <w:rPr>
                <w:b w:val="0"/>
                <w:sz w:val="24"/>
                <w:szCs w:val="24"/>
              </w:rPr>
              <w:t>Pihak yang menerima output sebuah proses, di dalam maupun di luar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Gate</w:t>
            </w:r>
          </w:p>
        </w:tc>
        <w:tc>
          <w:tcPr>
            <w:tcW w:w="6803" w:type="dxa"/>
            <w:vAlign w:val="center"/>
          </w:tcPr>
          <w:p w14:paraId="6E842649" w14:textId="12DD9EBE" w:rsidR="00330634" w:rsidRDefault="00330634">
            <w:pPr>
              <w:rPr>
                <w:sz w:val="24"/>
                <w:szCs w:val="24"/>
              </w:rPr>
            </w:pPr>
            <w:r>
              <w:rPr>
                <w:b w:val="0"/>
                <w:sz w:val="24"/>
                <w:szCs w:val="24"/>
              </w:rPr>
              <w:t>Pemeriksaan tertulis saat sebuah deal berpindah dari satu pihak ke pihak berikutnya.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G1 Kick-off</w:t>
            </w:r>
          </w:p>
        </w:tc>
        <w:tc>
          <w:tcPr>
            <w:tcW w:w="6803" w:type="dxa"/>
            <w:vAlign w:val="center"/>
          </w:tcPr>
          <w:p w14:paraId="6E842649" w14:textId="12DD9EBE" w:rsidR="00330634" w:rsidRDefault="00330634">
            <w:pPr>
              <w:rPr>
                <w:sz w:val="24"/>
                <w:szCs w:val="24"/>
              </w:rPr>
            </w:pPr>
            <w:r>
              <w:rPr>
                <w:b w:val="0"/>
                <w:sz w:val="24"/>
                <w:szCs w:val="24"/>
              </w:rPr>
              <w:t>Gate saat Commercial menyerahkan deal ke SD dan PM.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G2 UAT dan BAST</w:t>
            </w:r>
          </w:p>
        </w:tc>
        <w:tc>
          <w:tcPr>
            <w:tcW w:w="6803" w:type="dxa"/>
            <w:vAlign w:val="center"/>
          </w:tcPr>
          <w:p w14:paraId="6E842649" w14:textId="12DD9EBE" w:rsidR="00330634" w:rsidRDefault="00330634">
            <w:pPr>
              <w:rPr>
                <w:sz w:val="24"/>
                <w:szCs w:val="24"/>
              </w:rPr>
            </w:pPr>
            <w:r>
              <w:rPr>
                <w:b w:val="0"/>
                <w:sz w:val="24"/>
                <w:szCs w:val="24"/>
              </w:rPr>
              <w:t>Gate saat SD dan PM menyerahkan layanan terpasang ke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G3 Serah terima operasi</w:t>
            </w:r>
          </w:p>
        </w:tc>
        <w:tc>
          <w:tcPr>
            <w:tcW w:w="6803" w:type="dxa"/>
            <w:vAlign w:val="center"/>
          </w:tcPr>
          <w:p w14:paraId="6E842649" w14:textId="12DD9EBE" w:rsidR="00330634" w:rsidRDefault="00330634">
            <w:pPr>
              <w:rPr>
                <w:sz w:val="24"/>
                <w:szCs w:val="24"/>
              </w:rPr>
            </w:pPr>
            <w:r>
              <w:rPr>
                <w:b w:val="0"/>
                <w:sz w:val="24"/>
                <w:szCs w:val="24"/>
              </w:rPr>
              <w:t>Gate saat SD dan PM menyerahkan layanan ke NOC dan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Paket handover G1</w:t>
            </w:r>
          </w:p>
        </w:tc>
        <w:tc>
          <w:tcPr>
            <w:tcW w:w="6803" w:type="dxa"/>
            <w:vAlign w:val="center"/>
          </w:tcPr>
          <w:p w14:paraId="6E842649" w14:textId="12DD9EBE" w:rsidR="00330634" w:rsidRDefault="00330634">
            <w:pPr>
              <w:rPr>
                <w:sz w:val="24"/>
                <w:szCs w:val="24"/>
              </w:rPr>
            </w:pPr>
            <w:r>
              <w:rPr>
                <w:b w:val="0"/>
                <w:sz w:val="24"/>
                <w:szCs w:val="24"/>
              </w:rPr>
              <w:t>Berkas yang diserahkan Commercial ke SD dan PM pada G1.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UAT</w:t>
            </w:r>
          </w:p>
        </w:tc>
        <w:tc>
          <w:tcPr>
            <w:tcW w:w="6803" w:type="dxa"/>
            <w:vAlign w:val="center"/>
          </w:tcPr>
          <w:p w14:paraId="6E842649" w14:textId="12DD9EBE" w:rsidR="00330634" w:rsidRDefault="00330634">
            <w:pPr>
              <w:rPr>
                <w:sz w:val="24"/>
                <w:szCs w:val="24"/>
              </w:rPr>
            </w:pPr>
            <w:r>
              <w:rPr>
                <w:b w:val="0"/>
                <w:sz w:val="24"/>
                <w:szCs w:val="24"/>
              </w:rPr>
              <w:t>User acceptance test, uji penerimaan atas layanan terpasang.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Hypercare</w:t>
            </w:r>
          </w:p>
        </w:tc>
        <w:tc>
          <w:tcPr>
            <w:tcW w:w="6803" w:type="dxa"/>
            <w:vAlign w:val="center"/>
          </w:tcPr>
          <w:p w14:paraId="6E842649" w14:textId="12DD9EBE" w:rsidR="00330634" w:rsidRDefault="00330634">
            <w:pPr>
              <w:rPr>
                <w:sz w:val="24"/>
                <w:szCs w:val="24"/>
              </w:rPr>
            </w:pPr>
            <w:r>
              <w:rPr>
                <w:b w:val="0"/>
                <w:sz w:val="24"/>
                <w:szCs w:val="24"/>
              </w:rPr>
              <w:t>Status layanan selama G3 belum lolos, dengan SD dan PM sebagai pemilik.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BAU</w:t>
            </w:r>
          </w:p>
        </w:tc>
        <w:tc>
          <w:tcPr>
            <w:tcW w:w="6803" w:type="dxa"/>
            <w:vAlign w:val="center"/>
          </w:tcPr>
          <w:p w14:paraId="6E842649" w14:textId="12DD9EBE" w:rsidR="00330634" w:rsidRDefault="00330634">
            <w:pPr>
              <w:rPr>
                <w:sz w:val="24"/>
                <w:szCs w:val="24"/>
              </w:rPr>
            </w:pPr>
            <w:r>
              <w:rPr>
                <w:b w:val="0"/>
                <w:sz w:val="24"/>
                <w:szCs w:val="24"/>
              </w:rPr>
              <w:t>Business as usual: layanan yang sudah diterima Operation setelah G3 lolos dan berjalan sebagai operasi harian.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untuk menemukan root cause (akar masalah) sebuah insiden.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P1 dan P2</w:t>
            </w:r>
          </w:p>
        </w:tc>
        <w:tc>
          <w:tcPr>
            <w:tcW w:w="6803" w:type="dxa"/>
            <w:vAlign w:val="center"/>
          </w:tcPr>
          <w:p w14:paraId="6E842649" w14:textId="12DD9EBE" w:rsidR="00330634" w:rsidRDefault="00330634">
            <w:pPr>
              <w:rPr>
                <w:sz w:val="24"/>
                <w:szCs w:val="24"/>
              </w:rPr>
            </w:pPr>
            <w:r>
              <w:rPr>
                <w:b w:val="0"/>
                <w:sz w:val="24"/>
                <w:szCs w:val="24"/>
              </w:rPr>
              <w:t>Dua tingkat severity tertinggi pada ticket, P1 Kritis dan P2 Tinggi, dari skala P1 sampai P4 di POL-OPS-001.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Operation.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(ticket.sinux.co.id), sistem ticket untuk generalist.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Shift Log</w:t>
            </w:r>
          </w:p>
        </w:tc>
        <w:tc>
          <w:tcPr>
            <w:tcW w:w="6803" w:type="dxa"/>
            <w:vAlign w:val="center"/>
          </w:tcPr>
          <w:p w14:paraId="6E842649" w14:textId="12DD9EBE" w:rsidR="00330634" w:rsidRDefault="00330634">
            <w:pPr>
              <w:rPr>
                <w:sz w:val="24"/>
                <w:szCs w:val="24"/>
              </w:rPr>
            </w:pPr>
            <w:r>
              <w:rPr>
                <w:b w:val="0"/>
                <w:sz w:val="24"/>
                <w:szCs w:val="24"/>
              </w:rPr>
              <w:t>Catatan serah terima antar shift NOC dan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 (vault)</w:t>
            </w:r>
          </w:p>
        </w:tc>
        <w:tc>
          <w:tcPr>
            <w:tcW w:w="6803" w:type="dxa"/>
            <w:vAlign w:val="center"/>
          </w:tcPr>
          <w:p w14:paraId="6E842649" w14:textId="12DD9EBE" w:rsidR="00330634" w:rsidRDefault="00330634">
            <w:pPr>
              <w:rPr>
                <w:sz w:val="24"/>
                <w:szCs w:val="24"/>
              </w:rPr>
            </w:pPr>
            <w:r>
              <w:rPr>
                <w:b w:val="0"/>
                <w:sz w:val="24"/>
                <w:szCs w:val="24"/>
              </w:rPr>
              <w:t>Penyimpanan kredensial internal SINUX. Status operasional: menunggu konfirmasi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proses inti punya pemilik proses yang bertanggung jawab atas kinerja dan dokumennya (ISO 9001:2015 4.4; ISO/IEC 27001:2022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deal baru berpindah tangan tiga kali, dan tiap perpindahan wajib lolos gate tertulis. Pihak penerima tidak menerima pekerjaan sebelum gate-nya lolos (ISO 9001:2015 8.1; ISO/IEC 27001:2022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Operation berhak menolak serah terima G3 secara tertulis jika Checklist G3 belum lengkap. Selama G3 belum lolos, layanan berstatus hypercare dengan pemilik SD dan PM (ISO 9001:2015 8.6).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Janji ke pelanggan yang belum tercatat di paket handover G1 tidak mengikat Operation sampai VP Commercial dan COO menyetujuinya (ISO 9001:2015 8.2).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dinyatakan BAU hanya setelah G3 lolos, dan perubahan konfigurasi dijalankan melalui change request menurut SNX-OPS-SOP-02 (ISO 9001:2015 8.5).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pendukung ISMS berjalan bersama proses inti. Titik singgung tiap proses pendukung tercantum di tabel Dokumen terkait (ISO/IEC 27001:2022 4.4,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SLA berasal dari Nusametric, Overseer, dan console Nusagrid. Data SOC berasal dari Wazuh, AegisWAF, Cloudflare, dan EDR. Log backup berasal dari Acronis Cyber Protect.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Ticket pelanggan Nusagrid dicatat di Zammad. Ticket GMF dedicated dan permintaan internal dicatat di Service Hub. Change request dan Shift Log dicatat di Service Hub, sedangkan batas pemakaiannya dengan Zammad belum diputus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Kredensial dilarang ditulis di chat, ticket, atau dokumen. Kredensial disimpan di password manager (vault).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Akses ke production dilakukan melalui Jumphost SINUX, yang merekam sesi untuk audit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dan record disimpan di Google Drive SINUX dan dikendalikan sesuai SNX-ISMS-PRO-01. Record mengikuti masa simpan di dokumennya masing-masing.</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Memimpin Management Review yang membahas hasil pengukuran kinerja proses.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dokumen ini melalui blok Approved By.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Penanggung jawab kepatuhan terhadap kebijakan dan proses yang disahkan. Menerima laporan KPI Operation.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Mengesahkan perubahan atas dokumen ini sebelum direvisi.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Memiliki proses 1 dan menyerahkan paket handover G1 ke SD dan PM.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Bersama COO, menyetujui janji ke pelanggan yang belum tercatat di G1.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Memiliki proses 4 dan 6, memegang gate G1, dan memimpin SD dan PM selaku pemilik hypercare.</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Menerima paket handover G1 jika Checklist G1 terpenuhi.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Memiliki proses 2 dan 3, memegang gate G2, dan mengisi Checklist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G2 lolos jika syaratnya terpenuhi.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dokumen ini. Memiliki proses 5, 7, dan 8, memegang gate G3, dan membawahi Lead NOC, Lead SOC, dan Service Delivery Manager.</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G3 lolos atau menolaknya secara tertulis. Menerima pengajuan perubahan atas proses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operasi harian NOC pada proses 5 dan menerima serah terima layanan ke NOC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Menandai tanda terima briefing serah terima untuk NOC.</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operasi harian SOC pada proses 5 dan menerima serah terima layanan ke SOC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Menandai tanda terima briefing serah terima untuk SOC.</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proses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Bertanggung jawab atas kinerja dan dokumen proses inti yang dimilikinya.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perubahan atas proses yang dimilikinya ke Head of Operation.</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Proses Inti Operation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Uraian proses (SIPOC) memuat pemilik proses, input, output, pelanggan proses, prosedur, dan record bukti. Nomor langkah sama dengan nomor proses. Kolom PIC berisi pemilik proses, dan kolom Output / Rekaman berisi record bukti serta pelanggan proses.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Pemilik proses 4 adalah Service Delivery Manager, sedangkan pemilik gate G2 adalah Project Manager dan pemilik gate G3 adalah Head of Operation.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Penjualan dan kontrak: ubah kebutuhan pelanggan dan sizing teknis menjadi PO atau kontrak, scope, dan SLA, mengikuti SNX-COM-SOP-01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kontrak dan paket handover G1. Pelanggan proses: SD dan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Perencanaan proyek: susun project plan, scope, timeline, dan risk register dari paket handover G1 dan kontrak, mengikuti SNX-OPS-SOP-01.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SNX-OPS-FRM-01 dan SNX-OPS-FRM-02. Pelanggan proses: NOC dan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Implementasi dan delivery: pasang layanan dari project plan dan change request, lengkap dengan laporan progres, mengikuti SNX-OPS-SOP-01 dan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SNX-OPS-FRM-03 dan SNX-OPS-FRM-04. Pelanggan proses: pelanggan, NOC, dan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UAT, verifikasi, dan serah terima: pastikan layanan terpasang lolos UAT, BAST ditandatangani, dan layanan diserahkan ke Operation, mengikuti SNX-OPS-SOP-01.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SNX-OPS-FRM-05 dan SNX-OPS-FRM-06. Pelanggan proses: pelanggan dan Operation.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Operasi layanan 24/7: tangani alert dan ticket layanan BAU serta laksanakan maintenance bersama Lead NOC dan Lead SOC, mengikuti SNX-OPS-SOP-03, SNX-OPS-SOP-04, dan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SNX-OPS-FRM-07, SNX-OPS-FRM-08, dan SNX-ISMS-FRM-02. Pelanggan proses: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Pemantauan SLA: susun laporan SLA bulanan dari data monitoring dan ticket, mengikuti SNX-OPS-SOP-05.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SNX-OPS-FRM-09. Pelanggan proses: pelanggan dan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Pengukuran kinerja: susun laporan KPI dari laporan SLA, ticket, change, dan backup sebagai masukan Management Review, mengikuti SNX-OPS-SOP-05.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SNX-OPS-RPT-01. Pelanggan proses: COO dan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Perbaikan: tetapkan RCA, corrective action, dan pembaruan risiko dari insiden P1 dan P2, temuan audit, dan KPI di bawah target, mengikuti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SNX-OPS-FRM-10 dan SNX-ISMS-REG-02. Pelanggan proses: semua proses.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Gate Serah Terima Sales sampai Operation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Syarat tiap gate mengikuti POL-OPS-001 bagian 8 dan PRO-OPS-001 bagian 8.2.</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paket handover G1 ke SD dan PM setelah PO atau kontrak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Paket handover G1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Terima paket handover G1 jika Checklist G1 terpenuhi: PO atau kontrak, scope final, SLA tertulis, PIC pelanggan, dan janji lisan tercatat.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Checklist G1 pada SNX-OPS-FRM-01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Nyatakan G2 lolos jika UAT lolos, BAST ditandatangani pelanggan, dan isu sisa punya pemilik.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SNX-OPS-FRM-05; BAST pada SNX-OPS-FRM-06</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Isi Checklist G3 dengan status tiap butir: aset terdaftar, monitoring aktif, backup dan restore teruji, as-built, runbook, dan akses melalui Jumphost.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Checklist G3 pada SNX-OPS-FRM-06</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Terima briefing serah terima untuk sub divisi masing-masing dan catat tanda terimanya.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Tanda terima briefing serah terima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Nyatakan G3 lolos jika semua butir Checklist G3 terpenuhi.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G3 pada SNX-OPS-FRM-06; layanan masuk BAU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Pengendalian Proses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perubahan atas proses ini ke Head of Operation.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proses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Pengajuan perubahan proses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Kaji dampak perubahan terhadap SLA dan keamanan informasi.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kajian dampak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Sahkan perubahan sebelum dokumen ini direvisi.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Pengesahan perubahan; revisi SNX-OPS-PRC-01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Ukur kinerja tiap proses inti setiap bulan melalui SNX-OPS-RPT-01.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SNX-OPS-RPT-01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Pimpin Management Review yang membahas hasil pengukuran kinerja proses.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hasil Management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343903" cy="6840000"/>
            <wp:docPr id="1" name="Picture 1"/>
            <wp:cNvGraphicFramePr>
              <a:graphicFrameLocks noChangeAspect="1"/>
            </wp:cNvGraphicFramePr>
            <a:graphic>
              <a:graphicData uri="http://schemas.openxmlformats.org/drawingml/2006/picture">
                <pic:pic>
                  <pic:nvPicPr>
                    <pic:cNvPr id="0" name="OPS-PRC-01_flow.png"/>
                    <pic:cNvPicPr/>
                  </pic:nvPicPr>
                  <pic:blipFill>
                    <a:blip r:embed="rId11"/>
                    <a:stretch>
                      <a:fillRect/>
                    </a:stretch>
                  </pic:blipFill>
                  <pic:spPr>
                    <a:xfrm>
                      <a:off x="0" y="0"/>
                      <a:ext cx="434390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inti Operation dengan gate G1 dan G3. Nama di bawah tiap kotak adalah pemilik proses atau pemilik gate. Garis putus-putus menunjukkan siklus perbaikan berkelanjutan: corrective action kembali ke operasi layanan, dan perbaikan masuk ke kontrak dan rencana berikutnya.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Kick-off internal setelah PO atau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PO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Hypercare layanan yang belum lolos G3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standar 2 minggu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Pengiriman laporan SLA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hari kerja ke-5 bulan berikutnya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Pengukuran kinerja proses inti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tahun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handover G1 belum memenuhi Checklist G1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mengembalikan paket ke VP Commercial dan mencatat kriteria yang belum terpenuhi di ticket. Onboarding belum dimulai.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Checklist G3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menolak serah terima secara tertulis, mencatat kriteria yang belum terpenuhi beserta pemilik dan tanggal targetnya di ticket, lalu memeriksa ulang G3 setelah kriteria terpenuhi. Selama itu layanan tetap berstatus hypercare.</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Deal tidak jadi (lost)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VP Commercial mencatat deal sebagai lost beserta alasannya. Prospek yang ditunda tetap dipegang Commercial, bukan Operation.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Gate dilewati, record tidak lengkap, atau SLA terlewat berulang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menangani ketidaksesuaian proses melalui SNX-OPS-FRM-10.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alur ini diukur melalui SNX-OPS-RPT-01, dan ketidaksesuaian proses ditangani melalui SNX-OPS-FRM-10. Head of Operation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SOP Project Management &amp; Delivery. Prosedur proses 2, 3, dan 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Prosedur proses 3 dan jalur perubahan konfigurasi.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SNX-OPS-SOP-03</w:t>
            </w:r>
          </w:p>
        </w:tc>
        <w:tc>
          <w:tcPr>
            <w:tcW w:w="6803" w:type="dxa"/>
            <w:vAlign w:val="center"/>
          </w:tcPr>
          <w:p w14:paraId="6E842649" w14:textId="12DD9EBE" w:rsidR="00330634" w:rsidRDefault="00330634">
            <w:pPr>
              <w:rPr>
                <w:sz w:val="24"/>
                <w:szCs w:val="24"/>
              </w:rPr>
            </w:pPr>
            <w:r>
              <w:rPr>
                <w:b w:val="0"/>
                <w:sz w:val="24"/>
                <w:szCs w:val="24"/>
              </w:rPr>
              <w:t>SOP Preventive &amp; Corrective Maintenance. Prosedur proses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Prosedur proses 5 dan 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SNX-OPS-SOP-05</w:t>
            </w:r>
          </w:p>
        </w:tc>
        <w:tc>
          <w:tcPr>
            <w:tcW w:w="6803" w:type="dxa"/>
            <w:vAlign w:val="center"/>
          </w:tcPr>
          <w:p w14:paraId="6E842649" w14:textId="12DD9EBE" w:rsidR="00330634" w:rsidRDefault="00330634">
            <w:pPr>
              <w:rPr>
                <w:sz w:val="24"/>
                <w:szCs w:val="24"/>
              </w:rPr>
            </w:pPr>
            <w:r>
              <w:rPr>
                <w:b w:val="0"/>
                <w:sz w:val="24"/>
                <w:szCs w:val="24"/>
              </w:rPr>
              <w:t>SOP Service Level Agreement (SLA) Monitoring. Prosedur proses 6 dan 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SOP Sales Process. Prosedur proses 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Record proses 2 dan tempat Checklist G1.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SNX-OPS-FRM-02</w:t>
            </w:r>
          </w:p>
        </w:tc>
        <w:tc>
          <w:tcPr>
            <w:tcW w:w="6803" w:type="dxa"/>
            <w:vAlign w:val="center"/>
          </w:tcPr>
          <w:p w14:paraId="6E842649" w14:textId="12DD9EBE" w:rsidR="00330634" w:rsidRDefault="00330634">
            <w:pPr>
              <w:rPr>
                <w:sz w:val="24"/>
                <w:szCs w:val="24"/>
              </w:rPr>
            </w:pPr>
            <w:r>
              <w:rPr>
                <w:b w:val="0"/>
                <w:sz w:val="24"/>
                <w:szCs w:val="24"/>
              </w:rPr>
              <w:t>Project Risk Register. Record proses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SNX-OPS-FRM-03</w:t>
            </w:r>
          </w:p>
        </w:tc>
        <w:tc>
          <w:tcPr>
            <w:tcW w:w="6803" w:type="dxa"/>
            <w:vAlign w:val="center"/>
          </w:tcPr>
          <w:p w14:paraId="6E842649" w14:textId="12DD9EBE" w:rsidR="00330634" w:rsidRDefault="00330634">
            <w:pPr>
              <w:rPr>
                <w:sz w:val="24"/>
                <w:szCs w:val="24"/>
              </w:rPr>
            </w:pPr>
            <w:r>
              <w:rPr>
                <w:b w:val="0"/>
                <w:sz w:val="24"/>
                <w:szCs w:val="24"/>
              </w:rPr>
              <w:t>Project Progress &amp; Monitoring Report. Record proses 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Record proses 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SNX-OPS-FRM-05</w:t>
            </w:r>
          </w:p>
        </w:tc>
        <w:tc>
          <w:tcPr>
            <w:tcW w:w="6803" w:type="dxa"/>
            <w:vAlign w:val="center"/>
          </w:tcPr>
          <w:p w14:paraId="6E842649" w14:textId="12DD9EBE" w:rsidR="00330634" w:rsidRDefault="00330634">
            <w:pPr>
              <w:rPr>
                <w:sz w:val="24"/>
                <w:szCs w:val="24"/>
              </w:rPr>
            </w:pPr>
            <w:r>
              <w:rPr>
                <w:b w:val="0"/>
                <w:sz w:val="24"/>
                <w:szCs w:val="24"/>
              </w:rPr>
              <w:t>Testing / UAT &amp; Quality Verification Records. Record proses 4 dan bukti G2.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SNX-OPS-FRM-06</w:t>
            </w:r>
          </w:p>
        </w:tc>
        <w:tc>
          <w:tcPr>
            <w:tcW w:w="6803" w:type="dxa"/>
            <w:vAlign w:val="center"/>
          </w:tcPr>
          <w:p w14:paraId="6E842649" w14:textId="12DD9EBE" w:rsidR="00330634" w:rsidRDefault="00330634">
            <w:pPr>
              <w:rPr>
                <w:sz w:val="24"/>
                <w:szCs w:val="24"/>
              </w:rPr>
            </w:pPr>
            <w:r>
              <w:rPr>
                <w:b w:val="0"/>
                <w:sz w:val="24"/>
                <w:szCs w:val="24"/>
              </w:rPr>
              <w:t>Project Handover / BAST &amp; Closure Report. Record proses 4, tempat BAST pada G2 dan Checklist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Record proses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Record proses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SNX-OPS-FRM-09</w:t>
            </w:r>
          </w:p>
        </w:tc>
        <w:tc>
          <w:tcPr>
            <w:tcW w:w="6803" w:type="dxa"/>
            <w:vAlign w:val="center"/>
          </w:tcPr>
          <w:p w14:paraId="6E842649" w14:textId="12DD9EBE" w:rsidR="00330634" w:rsidRDefault="00330634">
            <w:pPr>
              <w:rPr>
                <w:sz w:val="24"/>
                <w:szCs w:val="24"/>
              </w:rPr>
            </w:pPr>
            <w:r>
              <w:rPr>
                <w:b w:val="0"/>
                <w:sz w:val="24"/>
                <w:szCs w:val="24"/>
              </w:rPr>
              <w:t>SLA Performance Monitoring Report. Record proses 6.</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Record proses 7 dan masukan Management 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Record proses 8 dan penanganan ketidaksesuaian proses.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Label dokumen proyek, BAST, laporan, dan record operasi.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Aset baru didaftarkan sebelum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Inventaris aset dan konfigurasi; perubahan konfigurasi melalui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Record proses 8; risiko proyek berat dan temuan RCA dinaikkan ke register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Bagian dari proses penilaian dan penanganan risiko.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SNX-ISMS-SOA-01</w:t>
            </w:r>
          </w:p>
        </w:tc>
        <w:tc>
          <w:tcPr>
            <w:tcW w:w="6803" w:type="dxa"/>
            <w:vAlign w:val="center"/>
          </w:tcPr>
          <w:p w14:paraId="6E842649" w14:textId="12DD9EBE" w:rsidR="00330634" w:rsidRDefault="00330634">
            <w:pPr>
              <w:rPr>
                <w:sz w:val="24"/>
                <w:szCs w:val="24"/>
              </w:rPr>
            </w:pPr>
            <w:r>
              <w:rPr>
                <w:b w:val="0"/>
                <w:sz w:val="24"/>
                <w:szCs w:val="24"/>
              </w:rPr>
              <w:t>Statement of Applicability (SoA). Bagian dari proses penilaian dan penanganan risiko.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SOP User Access Control &amp; Authorization. Akses pelanggan dibuat saat onboarding dan dicabut saat offboarding.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SNX-ISMS-REG-04</w:t>
            </w:r>
          </w:p>
        </w:tc>
        <w:tc>
          <w:tcPr>
            <w:tcW w:w="6803" w:type="dxa"/>
            <w:vAlign w:val="center"/>
          </w:tcPr>
          <w:p w14:paraId="6E842649" w14:textId="12DD9EBE" w:rsidR="00330634" w:rsidRDefault="00330634">
            <w:pPr>
              <w:rPr>
                <w:sz w:val="24"/>
                <w:szCs w:val="24"/>
              </w:rPr>
            </w:pPr>
            <w:r>
              <w:rPr>
                <w:b w:val="0"/>
                <w:sz w:val="24"/>
                <w:szCs w:val="24"/>
              </w:rPr>
              <w:t>User Access Register &amp; Periodic Access Review. Register pada proses kontrol akses.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aktif dan restore teruji adalah syarat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Record proses backup dan pemulihan.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SNX-ISMS-SOP-05</w:t>
            </w:r>
          </w:p>
        </w:tc>
        <w:tc>
          <w:tcPr>
            <w:tcW w:w="6803" w:type="dxa"/>
            <w:vAlign w:val="center"/>
          </w:tcPr>
          <w:p w14:paraId="6E842649" w14:textId="12DD9EBE" w:rsidR="00330634" w:rsidRDefault="00330634">
            <w:pPr>
              <w:rPr>
                <w:sz w:val="24"/>
                <w:szCs w:val="24"/>
              </w:rPr>
            </w:pPr>
            <w:r>
              <w:rPr>
                <w:b w:val="0"/>
                <w:sz w:val="24"/>
                <w:szCs w:val="24"/>
              </w:rPr>
              <w:t>SOP Vulnerability &amp; Patch Management. Patch dieksekusi sebagai change atau preventive maintenance.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Insiden teknis berindikasi keamanan diserahkan ke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Record proses 5 dan penanganan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Skenario gangguan besar dan target pemulihan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Upstream infra, partner SOC, dan vendor lisensi dievaluasi berkala.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SNX-OPS-ML-00</w:t>
            </w:r>
          </w:p>
        </w:tc>
        <w:tc>
          <w:tcPr>
            <w:tcW w:w="6803" w:type="dxa"/>
            <w:vAlign w:val="center"/>
          </w:tcPr>
          <w:p w14:paraId="6E842649" w14:textId="12DD9EBE" w:rsidR="00330634" w:rsidRDefault="00330634">
            <w:pPr>
              <w:rPr>
                <w:sz w:val="24"/>
                <w:szCs w:val="24"/>
              </w:rPr>
            </w:pPr>
            <w:r>
              <w:rPr>
                <w:b w:val="0"/>
                <w:sz w:val="24"/>
                <w:szCs w:val="24"/>
              </w:rPr>
              <w:t>Master List dokumen Divisi Operation untuk ISO 9001:2015 dan ISO/IEC 27001:2022.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berstatus usulan. Dasar syarat gate dan hypercare.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v0.1, penomoran masih berstatus usulan. Dasar Checklist G1 dan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dan jabatan JA-02.</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dan paket handover G1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 dan SNX-OPS-FRM-02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SNX-OPS-FRM-03 dan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SNX-OPS-FRM-05 dan SNX-OPS-FRM-06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SNX-OPS-FRM-07, SNX-OPS-FRM-08, dan SNX-ISMS-FRM-02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 dan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SNX-OPS-PRC-01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klausul 4.4 (Sistem manajemen mutu dan prosesnya), 8.1 (Perencanaan dan pengendalian operasional), 8.2 (Persyaratan untuk produk dan jasa), dan 8.5 (Produksi dan penyediaan jasa). Klausul 8.6 (Pelepasan produk dan jasa) juga berlaku pada gate G3, klausul 8.7 (Pengendalian keluaran yang tidak sesuai) dan 10.2 (Ketidaksesuaian dan tindakan korektif) pada penanganan ketidaksesuaian proses, dan klausul 9.1 (Pemantauan, pengukuran, analisis, dan evaluasi) pada pengukuran kinerja proses.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klausul 4.4 (Sistem manajemen keamanan informasi dan prosesnya) dan klausul 8.1 (Perencanaan dan pengendalian operasional); keduanya klausul utama standar, bukan kontrol Annex A. Klausul 6.1 (Tindakan untuk menangani risiko dan peluang) juga berlaku pada risiko proyek berat dan temuan RCA yang dinaikkan ke register risiko ISMS, klausul 9.1 (Pemantauan, pengukuran, analisis, dan evaluasi) pada pengukuran kinerja proses, dan Annex A 5.37 (Documented operating procedures) pada dokumen ini.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