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Operational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Operational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Permintaan ke Departemen Legal</w:t>
            <w:br/>
            <w:t xml:space="preserve">6.2 Penyusunan dan Review Kontrak atau PKS</w:t>
            <w:br/>
            <w:t xml:space="preserve">6.3 Eskalasi Risiko</w:t>
            <w:br/>
            <w:t xml:space="preserve">6.4 Penandatanganan dan Pengarsipan</w:t>
            <w:br/>
            <w:t xml:space="preserve">6.5 Pemantauan Kontrak Berjalan</w:t>
            <w:br/>
            <w:t xml:space="preserve">6.6 Korporasi dan Perizinan</w:t>
            <w:br/>
            <w:t xml:space="preserve">6.7 Kepatuhan dan Pelindungan Data Pribadi</w:t>
            <w:br/>
            <w:t xml:space="preserve">6.8 Sengketa, Somasi, dan Klaim</w:t>
            <w:br/>
            <w:t xml:space="preserve">6.9 Kerahasiaan dan Pengelolaan Dokumen</w:t>
            <w:br/>
            <w:t xml:space="preserve">6.10 Pelaporan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menjadi panduan Departemen Legal SINUX untuk menjalankan pekerjaan hukum (kontrak, korporasi, perizinan, kepatuhan, dan sengketa), dengan koordinasi antara Line Manager Legal dan Staff Legal serta koordinasi dengan departemen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seluruh aspek hukum SINUX ditangani secara tertib, dapat ditelusuri, dan melindungi kepentingan perusahaan.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yaitu departemen SINUX yang mengajukan permintaan. Scope mencakup juga entitas afiliasi atau turunan, misalnya rencana pendirian PT Nusagrid, sepanjang ditugaskan kepada Departemen Legal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permintaan ke Departemen Legal, penyusunan dan review kontrak atau PKS, eskalasi risiko, penandatanganan dan pengarsipan, pemantauan kontrak berjalan, korporasi dan perizinan, kepatuhan dan pelindungan data pribadi, sengketa, somasi, dan klaim, kerahasiaan dan pengelolaan dokumen, serta pelaporan.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untuk permintaan (butir 4.7) dan Google Drive untuk arsip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uraian tugas, wewenang, dan indikator kinerja tiap peran, yang ada di SNX-HR-JA-01; keputusan bisnis, yang tetap pada Manajemen (butir 4.5); dan lampiran yang belum disusun, yaitu template NDA, PKS, dan addendum, playbook klausul, format tabel redline dan ringkasan risiko, format register kontrak dan register perizinan, serta DoA.</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Perjanjian tertulis yang mengubah atau menambah isi kontrak yang sudah ditandatangani.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Berkas kasus</w:t>
            </w:r>
          </w:p>
        </w:tc>
        <w:tc>
          <w:tcPr>
            <w:tcW w:w="6803" w:type="dxa"/>
            <w:vAlign w:val="center"/>
          </w:tcPr>
          <w:p w14:paraId="6E842649" w14:textId="12DD9EBE" w:rsidR="00330634" w:rsidRDefault="00330634">
            <w:pPr>
              <w:rPr>
                <w:sz w:val="24"/>
                <w:szCs w:val="24"/>
              </w:rPr>
            </w:pPr>
            <w:r>
              <w:rPr>
                <w:b w:val="0"/>
                <w:sz w:val="24"/>
                <w:szCs w:val="24"/>
              </w:rPr>
              <w:t>Kumpulan korespondensi dan dokumen satu somasi, klaim, atau sengketa.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matriks yang menetapkan pejabat penyetuju serta batas nilai dan jenis kontrak. SNX-HR-JA-01 menyebutnya Authority Matrix (USULAN: satu dokumen).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Due diligence</w:t>
            </w:r>
          </w:p>
        </w:tc>
        <w:tc>
          <w:tcPr>
            <w:tcW w:w="6803" w:type="dxa"/>
            <w:vAlign w:val="center"/>
          </w:tcPr>
          <w:p w14:paraId="6E842649" w14:textId="12DD9EBE" w:rsidR="00330634" w:rsidRDefault="00330634">
            <w:pPr>
              <w:rPr>
                <w:sz w:val="24"/>
                <w:szCs w:val="24"/>
              </w:rPr>
            </w:pPr>
            <w:r>
              <w:rPr>
                <w:b w:val="0"/>
                <w:sz w:val="24"/>
                <w:szCs w:val="24"/>
              </w:rPr>
              <w:t>Pemeriksaan legalitas, kewenangan penandatangan, dan rekam jejak sengketa pihak lawan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KBLI</w:t>
            </w:r>
          </w:p>
        </w:tc>
        <w:tc>
          <w:tcPr>
            <w:tcW w:w="6803" w:type="dxa"/>
            <w:vAlign w:val="center"/>
          </w:tcPr>
          <w:p w14:paraId="6E842649" w14:textId="12DD9EBE" w:rsidR="00330634" w:rsidRDefault="00330634">
            <w:pPr>
              <w:rPr>
                <w:sz w:val="24"/>
                <w:szCs w:val="24"/>
              </w:rPr>
            </w:pPr>
            <w:r>
              <w:rPr>
                <w:b w:val="0"/>
                <w:sz w:val="24"/>
                <w:szCs w:val="24"/>
              </w:rPr>
              <w:t>Klasifikasi Baku Lapangan Usaha Indonesia: kode kegiatan usaha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Klausul kritis</w:t>
            </w:r>
          </w:p>
        </w:tc>
        <w:tc>
          <w:tcPr>
            <w:tcW w:w="6803" w:type="dxa"/>
            <w:vAlign w:val="center"/>
          </w:tcPr>
          <w:p w14:paraId="6E842649" w14:textId="12DD9EBE" w:rsidR="00330634" w:rsidRDefault="00330634">
            <w:pPr>
              <w:rPr>
                <w:sz w:val="24"/>
                <w:szCs w:val="24"/>
              </w:rPr>
            </w:pPr>
            <w:r>
              <w:rPr>
                <w:b w:val="0"/>
                <w:sz w:val="24"/>
                <w:szCs w:val="24"/>
              </w:rPr>
              <w:t>Klausul kontrak yang wajib diperiksa Staff Legal. Daftarnya ada di butir 4.16.</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LKPM</w:t>
            </w:r>
          </w:p>
        </w:tc>
        <w:tc>
          <w:tcPr>
            <w:tcW w:w="6803" w:type="dxa"/>
            <w:vAlign w:val="center"/>
          </w:tcPr>
          <w:p w14:paraId="6E842649" w14:textId="12DD9EBE" w:rsidR="00330634" w:rsidRDefault="00330634">
            <w:pPr>
              <w:rPr>
                <w:sz w:val="24"/>
                <w:szCs w:val="24"/>
              </w:rPr>
            </w:pPr>
            <w:r>
              <w:rPr>
                <w:b w:val="0"/>
                <w:sz w:val="24"/>
                <w:szCs w:val="24"/>
              </w:rPr>
              <w:t>Laporan Kegiatan Penanaman Modal: contoh kewajiban pelaporan berkala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Direktur Utama dan Direktur (COO), yaitu unit Management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NIB</w:t>
            </w:r>
          </w:p>
        </w:tc>
        <w:tc>
          <w:tcPr>
            <w:tcW w:w="6803" w:type="dxa"/>
            <w:vAlign w:val="center"/>
          </w:tcPr>
          <w:p w14:paraId="6E842649" w14:textId="12DD9EBE" w:rsidR="00330634" w:rsidRDefault="00330634">
            <w:pPr>
              <w:rPr>
                <w:sz w:val="24"/>
                <w:szCs w:val="24"/>
              </w:rPr>
            </w:pPr>
            <w:r>
              <w:rPr>
                <w:b w:val="0"/>
                <w:sz w:val="24"/>
                <w:szCs w:val="24"/>
              </w:rPr>
              <w:t>Nomor Induk Berusaha: identitas pelaku usaha yang terbit lewat OSS.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OSS</w:t>
            </w:r>
          </w:p>
        </w:tc>
        <w:tc>
          <w:tcPr>
            <w:tcW w:w="6803" w:type="dxa"/>
            <w:vAlign w:val="center"/>
          </w:tcPr>
          <w:p w14:paraId="6E842649" w14:textId="12DD9EBE" w:rsidR="00330634" w:rsidRDefault="00330634">
            <w:pPr>
              <w:rPr>
                <w:sz w:val="24"/>
                <w:szCs w:val="24"/>
              </w:rPr>
            </w:pPr>
            <w:r>
              <w:rPr>
                <w:b w:val="0"/>
                <w:sz w:val="24"/>
                <w:szCs w:val="24"/>
              </w:rPr>
              <w:t>Sistem Online Single Submission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mengajukan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w:t>
            </w:r>
          </w:p>
        </w:tc>
        <w:tc>
          <w:tcPr>
            <w:tcW w:w="6803" w:type="dxa"/>
            <w:vAlign w:val="center"/>
          </w:tcPr>
          <w:p w14:paraId="6E842649" w14:textId="12DD9EBE" w:rsidR="00330634" w:rsidRDefault="00330634">
            <w:pPr>
              <w:rPr>
                <w:sz w:val="24"/>
                <w:szCs w:val="24"/>
              </w:rPr>
            </w:pPr>
            <w:r>
              <w:rPr>
                <w:b w:val="0"/>
                <w:sz w:val="24"/>
                <w:szCs w:val="24"/>
              </w:rPr>
              <w:t>Pengajuan satu pekerjaan hukum oleh Pemohon kepada Departemen Legal, misalnya review kontrak atau pendirian entitas.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Pemohon tunjuk sebagai penghubung Departemen Legal untuk satu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Playbook klausul</w:t>
            </w:r>
          </w:p>
        </w:tc>
        <w:tc>
          <w:tcPr>
            <w:tcW w:w="6803" w:type="dxa"/>
            <w:vAlign w:val="center"/>
          </w:tcPr>
          <w:p w14:paraId="6E842649" w14:textId="12DD9EBE" w:rsidR="00330634" w:rsidRDefault="00330634">
            <w:pPr>
              <w:rPr>
                <w:sz w:val="24"/>
                <w:szCs w:val="24"/>
              </w:rPr>
            </w:pPr>
            <w:r>
              <w:rPr>
                <w:b w:val="0"/>
                <w:sz w:val="24"/>
                <w:szCs w:val="24"/>
              </w:rPr>
              <w:t>Dokumen yang memuat posisi standar, fallback, dan batas yang tidak boleh dilanggar untuk klausul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w:t>
            </w:r>
          </w:p>
        </w:tc>
        <w:tc>
          <w:tcPr>
            <w:tcW w:w="6803" w:type="dxa"/>
            <w:vAlign w:val="center"/>
          </w:tcPr>
          <w:p w14:paraId="6E842649" w14:textId="12DD9EBE" w:rsidR="00330634" w:rsidRDefault="00330634">
            <w:pPr>
              <w:rPr>
                <w:sz w:val="24"/>
                <w:szCs w:val="24"/>
              </w:rPr>
            </w:pPr>
            <w:r>
              <w:rPr>
                <w:b w:val="0"/>
                <w:sz w:val="24"/>
                <w:szCs w:val="24"/>
              </w:rPr>
              <w:t>Catatan terstruktur Departemen Legal. Ada tiga: register permintaan, register kontrak, dan register perizinan.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Somasi</w:t>
            </w:r>
          </w:p>
        </w:tc>
        <w:tc>
          <w:tcPr>
            <w:tcW w:w="6803" w:type="dxa"/>
            <w:vAlign w:val="center"/>
          </w:tcPr>
          <w:p w14:paraId="6E842649" w14:textId="12DD9EBE" w:rsidR="00330634" w:rsidRDefault="00330634">
            <w:pPr>
              <w:rPr>
                <w:sz w:val="24"/>
                <w:szCs w:val="24"/>
              </w:rPr>
            </w:pPr>
            <w:r>
              <w:rPr>
                <w:b w:val="0"/>
                <w:sz w:val="24"/>
                <w:szCs w:val="24"/>
              </w:rPr>
              <w:t>Surat teguran tertulis agar pihak lain memenuhi kewajibannya.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Tabel redline</w:t>
            </w:r>
          </w:p>
        </w:tc>
        <w:tc>
          <w:tcPr>
            <w:tcW w:w="6803" w:type="dxa"/>
            <w:vAlign w:val="center"/>
          </w:tcPr>
          <w:p w14:paraId="6E842649" w14:textId="12DD9EBE" w:rsidR="00330634" w:rsidRDefault="00330634">
            <w:pPr>
              <w:rPr>
                <w:sz w:val="24"/>
                <w:szCs w:val="24"/>
              </w:rPr>
            </w:pPr>
            <w:r>
              <w:rPr>
                <w:b w:val="0"/>
                <w:sz w:val="24"/>
                <w:szCs w:val="24"/>
              </w:rPr>
              <w:t>Tabel yang memuat usulan perubahan Departemen Legal atas dokumen pihak lawan.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komersial yang disepakati para pihak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Pelanggaran kewajiban yang tertulis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tanpa review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Departemen Legal mencatat semua pekerjaannya: register, versi dokumen, dan riwayat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Departemen Legal mengklasifikasikan risiko dan mengeskalasinya sesuai tingkatnya, tidak menyimpannya sendiri (butir 4.17 sampai 4.19).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Departemen Legal menjaga kerahasiaan dokumen dan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Departemen Legal memberi opini dan rekomendasi risiko. Keputusan bisnis tetap 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menetapkan dan menyetujui, Staff Legal menyiapkan dan mencatat, dan Manajemen memutuskan. Line Manager Legal menjadi pemilik rekaman Departemen Legal di bagian 11 dan Staff Legal pencatatnya, sama dengan SNX-LEG-SOP-03. Pelaku langkah dan pemilik rekaman yang tidak tertulis di draf tim sebelumnya (SOP Divisi Legal versi 0.1) ditetapkan dari pembagian ini dan dari uraian jabatan di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Pemohon mengajukan permintaan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Pemohon menyertakan data permintaan: pihak, objek, nilai, jangka waktu, tenggat, dan dokumen pendukung. Untuk kontrak, Pemohon menambahkan term sheet atau kesepakatan komersial dan identitas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Pemohon melibatkan Departemen Legal sejak tahap negosiasi komersial,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Pemohon menunjuk satu PIC bisnis untuk setiap permintaan.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Pemohon menjawab pertanyaan Departemen Legal dalam batas waktu di bagian 8. Tenggat Departemen Legal bergeser sebesar keterlambatan jawaban.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Pemohon tidak menandatangani, menjanjikan, atau mengirim dokumen final sebelum persetujuan Departemen Legal dan pejabat berwenang sesuai DoA.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Pemohon tidak mengubah isi dokumen yang sudah direview tanpa melalui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melaporkan kepada Departemen Legal setiap somasi, klaim, surat regulator, atau perubahan fakta yang memengaruhi kontrak,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Departemen Legal memberikan kepada Pemohon konfirmasi penerimaan dan nomor register permintaan, draf atau hasil review beserta ringkasan risiko dan rekomendasi, dan dokumen final yang sudah ditandatangani dan tercatat di arsip. Pemohon dapat menanyakan status permintaan kapan saja kepada Staff Legal yang ditugaskan.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Staff Legal memeriksa klausul kritis berikut pada setiap kontrak: ruang lingkup dan deliverable; harga dan mekanisme pembayaran, termasuk apakah pembayaran bergantung pada pembayaran klien akhir; batas tanggung jawab dan ganti rugi; hak penangguhan pembayaran atau layanan; masa berlaku, perpanjangan, dan terminasi; kekayaan intelektual dan kepemilikan hasil kerja; kerahasiaan; pelindungan data pribadi; SLA dan sanksi; force majeure; penyelesaian sengketa dan hukum yang berlaku; potensi tumpang tindih wilayah, produk, atau pihak dengan kontrak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Risiko hukum Tinggi, misalnya kontrak tanpa batas tanggung jawab, tanpa klausul terminasi, dengan pembayaran bergantung pihak ketiga, dengan kekayaan intelektual didaftarkan atas nama pihak lain, atau dengan risiko sanksi regulasi, wajib dieskalasi dan menunggu keputusan Manajemen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Risiko hukum Sedang, misalnya klausul tidak seimbang yang masih dapat dinegosiasikan, perlu negosiasi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Risiko hukum Rendah, misalnya perbaikan redaksional, dapat diterima dan diperbaiki langsung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Persetujuan internal kontrak mengikuti DoA. Pejabat penyetuju serta batas nilai dan jenis kontrak ada di DoA, yang belum terbit. Sampai DoA terbit, Manajemen memutuskan persetujuan tiap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Setiap kontrak atau proyek yang melibatkan data pribadi ditinjau terhadap UU No. 27 Tahun 2022 tentang Pelindungan Data Pribadi: dasar pemrosesan, peran (pengendali atau prosesor), kewajiban keamanan, dan notifikasi insiden.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Departemen Legal mengklasifikasikan dokumen legal dengan tingkat di SNX-ISMS-PRO-01: PUBLIC, INTERNAL, RESTRICTED (Internal), atau SECRET.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RESTRICTED (Internal) dan SECRET dikirim hanya lewat kanal resmi, tidak lewat kanal pribadi. Padanan label Rahasia di SOP Divisi Legal versi 0.1 dengan kedua tingkat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menyimpan dokumen legal di repositori resmi, yaitu folder Google Drive departemen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Akses ke dokumen legal diberikan berdasarkan kebutuhan kerja dan dicabut saat peran penerima akses berakhir (prosedur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Retensi dokumen legal mengikuti peraturan perundang-undangan dan kebijakan perusahaan. Periode retensi belum ditetapkan; usulan penetapannya di SNX-LEG-SOP-03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Manajemen memutuskan strategi penanganan somasi, klaim, dan sengketa, yaitu negosiasi, mediasi, somasi balasan, atau litigasi, berdasarkan rekomendasi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Penunjukan advokat eksternal mengikuti batas wewenang Line Manager Legal di SNX-HR-JA-01. Batas itu belum ditetapkan di 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Departemen Legal menyimpan seluruh korespondensi dan dokumen satu somasi, klaim, atau sengketa dalam satu berkas kasus dengan akses terbatas.</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melapor ke COO (USULAN, butir K-03 di SNX-HR-ORG-01). Menugaskan Staff Legal dan menetapkan tenggat (prosedur 6.1), menyetujui paket review dan meneruskan kontrak ke persetujuan DoA (6.2), mengeskalasi risiko Tinggi (6.3), memverifikasi akta (6.6), berkoordinasi dengan VP Tech Operation and Services (6.7), merekomendasikan strategi sengketa (6.8), mengatur akses dokumen (6.9), dan melapor ke Manajemen (6.10). Uraian tugas rinci ada di SNX-HR-JA-01. Dipetakan ke jabatan Legal &amp; Compliance (JA-08)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Persetujuan akhir internal Departemen Legal; menetapkan penugasan dan tenggat; menghentikan proses yang berisiko Tinggi. Keputusan atas risiko itu ada pada Manajemen (butir 4.5).</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permintaan di register (6.1), menyusun draf, tabel redline, dan ringkasan risiko (6.2), menyiapkan penandatanganan dan arsip (6.4), memantau register kontrak dan perizinan (6.5 dan 6.6), meninjau pelindungan data pribadi dan menyusun memo kepatuhan (6.7), menyusun berkas kasus (6.8), serta mengelola dokumen legal (6.9). Uraian tugas rinci ada di SNX-HR-JA-01. Dipetakan ke jabatan Legal &amp; Compliance (JA-09) di SNX-HR-ORG-01, menunggu konfirmasi (K-13)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Menyiapkan dan mencatat. Persetujuan ada pada Line Manager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menyediakan fakta dan dokumen pendukung, menunjuk PIC bisnis, dan menjalankan kewajiban di butir 4.7 sampai 4.14. Pemohon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permintaan. Batas wewenang Pemohon atas dokumen final ada di butir 4.12 dan 4.13.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Manajemen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Direktur Utama dan COO. Memutuskan persetujuan internal kontrak menurut DoA (6.2), penanganan kontrak berisiko Tinggi (6.3), dan strategi penanganan sengketa (6.8). Menerima laporan bulanan dari Line Manager Legal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atas rekomendasi tertulis Line Manager Legal. Pejabat lain memutuskan bila DoA menetapkannya.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Memantau kewajiban pelaporan berkala, misalnya LKPM, bersama Staff Legal (6.6). Peran ini dipetakan dari Finance/Compliance di SOP Divisi Legal versi 0.1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Line Manager Legal untuk pelaporan insiden dan perjanjian pemrosesan data (6.7). Peran ini dipetakan dari tim keamanan/IT di SOP Divisi Legal versi 0.1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Notaris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Pihak luar SINUX. Memproses perubahan data perusahaan (6.6).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Permintaan ke Departemen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permintaan lewat tiket GLPI dengan data permintaan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beri nomor, dan tentukan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dengan nomor dan prioritas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konfirmasi penerimaan dan nomor register permintaan ke Pemohon.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tidak lengkap ke Pemohon dengan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lengkap dan tetapkan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dan tenggat permintaan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 atau PKS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klasifikasi risiko di langkah 6 menentukan penanganan di prosedur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Pemohon sudah memberikan data kontrak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Kelengkapan data kontrak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due diligence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due diligence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kontrak dengan template SINUX.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tabel redline untuk dokumen pihak lawan: pasal, isu, risiko, usulan perubahan, dan tingkat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redline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klausul kritis menurut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klausul kritis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Klasifikasikan risiko kontrak sebagai Tinggi, Sedang, atau Rendah menurut butir 4.17 sampai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Serahkan draf, tabel redline, dan ringkasan risiko ke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review: draf, tabel redline, dan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Setujui paket review itu atau kembalikan ke Staff Legal dengan catatan.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catatan pengembalian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nama setiap versi dokumen negosiasi dengan penamaan baku JenisDokumen_Pihak_vX_Tanggal.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perubahan yang diterima dan yang ditolak selama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negosiasi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Teruskan kontrak yang sudah disetujui Departemen Legal ke pejabat penyetuju menurut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persetujuan menurut DoA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Putuskan persetujuan internal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Eskalasi Risiko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Hentikan proses yang berisiko Tinggi di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Penghentian proses tercatat (butir 4.2)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risiko Tinggi itu ke Manajemen dengan rekomendasi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tertulis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penanganan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Negosiasikan klausul berisiko Sedang dan laporkan hasilnya dalam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Perbaiki redaksi draf untuk temuan berisiko Rendah.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Penandatanganan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Cocokkan versi final dengan versi yang disetujui: halaman, lampiran, dan nomor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pencocokan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penandatangan berwenang menurut anggaran dasar atau surat kuasa.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bea meterai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tersedia untuk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Gunakan penyelenggara tanda tangan elektronik yang sah untuk kontrak yang ditandatangani secara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tangan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Unggah salinan final ke arsip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arsip (butir 4.24)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register kontrak dalam batas waktu di bagian 8: para pihak, nilai, tanggal efektif, jatuh tempo, pengingat perpanjangan atau terminasi, dan PIC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dokumen asli sesuai butir 4.25.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dan tandai kontrak yang mendekati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pengingat perpanjangan atau terminasi ke PIC bisnis menjelang jatuh tempo atau batas pemberitahuan terminasi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untuk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addendum atau amandemen lewat prosedur 6.2 dan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Addendum atau amandemen yang sudah direview dan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Laporkan pelanggaran atau wanprestasi kontrak ke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pelanggaran atau wanprestasi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Korporasi dan Perizinan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Analisis KBLI terhadap kegiatan usaha untuk pendirian atau spin-off entitas.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analisis KBLI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persyaratan modal dan perizinan sektor.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persyaratan modal dan perizinan sektor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dokumen pendirian.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pendirian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Urus NIB lewat OSS sesuai PP No. 5 Tahun 2021 dan peraturan turunannya.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Siapkan berkas perubahan data perusahaan: anggaran dasar, pengurus, alamat, atau KBLI.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perubahan data perusahaan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Proses perubahan data perusahaan.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Verifikasi akta sebelum perubahan data perusahaan dinyatakan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setiap izin di register perizinan: jenis izin, nomor, masa berlaku, dan penanggung jawab.</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perizinan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Kirim pengingat perpanjangan izin ke penanggung jawab izin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perpanjangan izin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Pantau kewajiban pelaporan berkala, misalnya LKPM, bersama Finance.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pelaporan berkala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Catat penanggung jawab dan jadwal tiap kewajiban pelaporan berkala di register perizinan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dan jadwal pelaporan di register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Kepatuhan dan Pelindungan Data Pribadi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kontrak atau proyek yang melibatkan data pribadi menurut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pelindungan data pribadi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Koordinasikan pelaporan insiden dan perjanjian pemrosesan data dengan VP Tech Operation and Services.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koordinasi (lokasi catatan 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Pantau perubahan regulasi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regulasi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Ringkas perubahan regulasi yang relevan dalam memo kepatuhan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Memo kepatuhan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Sengketa, Somasi, dan Klaim</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setiap somasi atau klaim yang diterima atau dikirim ke Line Manager Legal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somasi atau klaim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kronologi somasi, klaim, atau sengketa.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Kronologi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Kumpulkan bukti: kontrak, korespondensi, dan bukti pembayaran atau penyerahan.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 berkas kasus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Petakan dasar hukum: wanprestasi atau perbuatan melawan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Pemetaan dasar hukum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strategi penanganan ke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strategi penanganan menurut butir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Tunjuk advokat eksternal menurut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advokat eksternal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korespondensi dan dokumen di berkas kasus menurut butir 4.30.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kasus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Kerahasiaan dan Pengelolaan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dokumen legal menurut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dengan tingkat klasifikasi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dokumen legal di repositori resmi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di folder Google Drive departemen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Adakan rapat singkat dengan Staff Legal: status pekerjaan, hambatan, dan prioritas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rapat 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kepada Manajemen: jumlah permintaan, kontrak selesai, risiko Tinggi, dan izin yang akan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bulanan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playbook klausul dan template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Playbook klausul dan template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5760286"/>
            <wp:docPr id="1" name="Picture 1"/>
            <wp:cNvGraphicFramePr>
              <a:graphicFrameLocks noChangeAspect="1"/>
            </wp:cNvGraphicFramePr>
            <a:graphic>
              <a:graphicData uri="http://schemas.openxmlformats.org/drawingml/2006/picture">
                <pic:pic>
                  <pic:nvPicPr>
                    <pic:cNvPr id="0" name="LEG-SOP-01_flow.png"/>
                    <pic:cNvPicPr/>
                  </pic:nvPicPr>
                  <pic:blipFill>
                    <a:blip r:embed="rId11"/>
                    <a:stretch>
                      <a:fillRect/>
                    </a:stretch>
                  </pic:blipFill>
                  <pic:spPr>
                    <a:xfrm>
                      <a:off x="0" y="0"/>
                      <a:ext cx="5580000" cy="576028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permintaan layanan legal untuk kontrak, dari permintaan Pemohon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standar: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urgent: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penyelesaian disepakati Line Manager Legal dan Pemohon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Departemen Legal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klaim, surat regulator, atau perubahan fakta yang memengaruhi kontrak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atau klaim ke Line Manager Legal (6.8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penandatanganan (6.4 langkah 6 dan 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setelah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register kontrak (6.5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kontrak yang jatuh tempo dalam 90 hari ditandai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terminasi ke PIC bisnis (6.5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perpanjangan izin (6.6 langkah 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Rapat Line Manager Legal dan Staff Legal (6.10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kepada Manajemen (6.10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 (6.7 langkah 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playbook klausul dan template (6.10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SOP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setahun sekali, atau saat ada perubahan regulasi atau struktur organisasi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tidak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 Pemohon dengan daftar kekurangan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terlambat menjawab pertanyaan Departemen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menggeser tenggat sebesar keterlambatan jawaban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review dikembalikan Line Manager Legal dengan catatan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memperbaiki draf, tabel redline, dan ringkasan risiko, lalu menyerahkannya lagi (6.2 langkah 3 sampai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menghentikan proses dan mengeskalasi risiko itu ke Manajemen, lalu Manajemen memutuskan (6.3 langkah 1 sampai 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DoA belum terbit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Manajemen memutuskan persetujuan tiap kontrak (butir 4.20).</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melaporkan somasi atau klaim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menjalankan prosedur 6.8 mulai dari langkah 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pemilik SOP ini, melaporkan pelaksanaan pekerjaan Departemen Legal kepada Manajemen setiap bulan (6.10 langkah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meninjau SOP ini sesuai periode di bagian 8.</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(USULAN, butir K-13); atasan JA-08 menunggu konfirmasi (butir K-03).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dokumen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judulnya mencakup topik prosedur 6.2 dan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tempat usulan penetapan periode retensi (butir 4.27).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SNX-LEG-REG-01</w:t>
            </w:r>
          </w:p>
        </w:tc>
        <w:tc>
          <w:tcPr>
            <w:tcW w:w="6803" w:type="dxa"/>
            <w:vAlign w:val="center"/>
          </w:tcPr>
          <w:p w14:paraId="6E842649" w14:textId="12DD9EBE" w:rsidR="00330634" w:rsidRDefault="00330634">
            <w:pPr>
              <w:rPr>
                <w:sz w:val="24"/>
                <w:szCs w:val="24"/>
              </w:rPr>
            </w:pPr>
            <w:r>
              <w:rPr>
                <w:b w:val="0"/>
                <w:sz w:val="24"/>
                <w:szCs w:val="24"/>
              </w:rPr>
              <w:t>Company Licenses &amp; Permits Register; padanan register perizinan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SNX-LEG-FRM-03</w:t>
            </w:r>
          </w:p>
        </w:tc>
        <w:tc>
          <w:tcPr>
            <w:tcW w:w="6803" w:type="dxa"/>
            <w:vAlign w:val="center"/>
          </w:tcPr>
          <w:p w14:paraId="6E842649" w14:textId="12DD9EBE" w:rsidR="00330634" w:rsidRDefault="00330634">
            <w:pPr>
              <w:rPr>
                <w:sz w:val="24"/>
                <w:szCs w:val="24"/>
              </w:rPr>
            </w:pPr>
            <w:r>
              <w:rPr>
                <w:b w:val="0"/>
                <w:sz w:val="24"/>
                <w:szCs w:val="24"/>
              </w:rPr>
              <w:t>Data Protection &amp; Confidentiality Compliance Review; padanan hasil tinjauan pelindungan data pribadi di 6.7 langkah 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DoA (Authority Matrix); belum terbit. Dirujuk di butir 4.12 dan 4.20.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NDA, PKS, dan addendum; playbook klausul; format tabel redline dan ringkasan risiko; format register kontrak dan register perizinan. Lampiran SOP Divisi Legal versi 0.1 yang belum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Divisi Legal versi 0.1 (Oktober 2026); draf tim yang menjadi dasar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perizinan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tabel redline, ringkasan risiko, dan catatan perubahan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dan bukti penandatanganan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Arsip di 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aman dengan akses terbatas (butir 4.25);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Berkas kasus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terbatas (butir 4.30);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kepada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4.6; 7.4 (Komunikasi), untuk koordinasi dengan Pemohon dan departemen lain di prosedur 6.1 dan 6.10; 7.5.3 (Pengendalian informasi terdokumentasi), untuk register, versi dokumen, arsip, dan retensi di butir 4.2 dan 4.27; 8.2.3 (Tinjauan persyaratan untuk produk dan jasa), untuk review kontrak oleh Departemen Legal sebelum penandatanganan di butir 4.1 dan prosedur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perundang-undangan, regulasi, dan kontrak), untuk prosedur 6.2, 6.6, dan 6.7; Annex A 5.34 (Privasi dan pelindungan data pribadi), untuk butir 4.21; Annex A 5.12 (Klasifikasi informasi), untuk butir 4.22; Annex A 5.15 (Kontrol akses), untuk butir 4.26; Annex A 5.33 (Perlindungan rekaman), untuk butir 4.27.</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