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FORM</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Vendor / Supplier Contract Review Checklist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SNX-LEG-FRM-02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Form</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Vendor / Supplier Contract Review Checklist</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SNX-LEG-FRM-02</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Form</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Lingkup</w:t>
            <w:br/>
            <w:t xml:space="preserve">2. Istilah</w:t>
            <w:br/>
            <w:t xml:space="preserve">3. Peran</w:t>
            <w:br/>
            <w:t xml:space="preserve">4. Petunjuk Pengisian</w:t>
            <w:br/>
            <w:t xml:space="preserve">5. Informasi Kontrak</w:t>
            <w:br/>
            <w:t xml:space="preserve">6. Daftar Periksa Telaah Kontrak</w:t>
            <w:br/>
            <w:t xml:space="preserve">7. Hasil Telaah dan Rekomendasi</w:t>
            <w:br/>
            <w:t xml:space="preserve">8. Catatan Pemeriksaan dan Persetujuan</w:t>
            <w:br/>
            <w:t xml:space="preserve">9. Dokumen Terkait</w:t>
            <w:br/>
            <w:t xml:space="preserve">10. Rekaman dan Acuan ISO</w:t>
            <w:br/>
            <w:t xml:space="preserve">11.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berisi daftar periksa untuk meninjau kontrak dengan Vendor/Pemasok sebelum SINUX menandatanganinya, agar kepentingan SINUX sebagai perusahaan terlindungi.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Telaah dilakukan untuk mengidentifikasi risiko hukum dan kontraktual, memastikan hak dan kewajiban para pihak jelas, serta menilai kecukupan ketentuan kerahasiaan, pelindungan data, keamanan informasi, dan keberlangsungan layanan apabila relevan.</w:t>
      </w:r>
    </w:p>
    <w:p w14:paraId="529DFADF" w14:textId="02DADB71" w:rsidR="00330634" w:rsidRDefault="00AA0D9D" w:rsidP="00AA0D9D">
      <w:pPr>
        <w:pStyle w:val="Heading2"/>
        <w:numPr>
          <w:ilvl w:val="1"/>
          <w:numId w:val="7"/>
        </w:numPr>
      </w:pPr>
      <w:r>
        <w:t>Lingkup</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dipakai untuk kontrak dengan Vendor/Pemasok yang menyediakan barang maupun jasa kepada SINUX, termasuk penyedia infrastruktur teknologi informasi, pusat data, komputasi awan, perangkat lunak, perangkat keras, jasa implementasi, pemeliharaan, konsultasi, dan layanan pendukung lainnya.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Telaah dilakukan berdasarkan jenis layanan, akses Vendor/Pemasok terhadap informasi atau sistem SINUX, tingkat ketergantungan SINUX terhadap Vendor/Pemasok, dan risiko yang timbul dari hubungan kontraktual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tidak dipakai untuk kontrak dengan pelanggan. Kontrak pelanggan ditelaah dengan SNX-LEG-FRM-01 (USULAN).</w:t>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Delegasi wewenang: pembagian wewenang untuk menyetujui transaksi dan menandatangani kontrak menurut jenis dan nilai transaksi.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tertulis berisi kesepakatan SINUX dengan Vendor/Pemasok yang menimbulkan hak dan kewajiban bagi kedua pihak.</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Lembar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Salinan form ini yang diisi untuk satu kontrak.</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NIB</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Nomor Induk Berusaha: identitas pelaku usaha yang terbit lewat OSS.</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Pejabat Berwenang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Pejabat yang menyetujui transaksi atau menandatangani kontrak atas nama SINUX menurut SNX-LEG-SOP-02.</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Keputusan internal Line Manager Legal bahwa telaah hukum atas kontrak sudah dilakukan dan hasilnya sudah disampaikan (SNX-LEG-SOP-02).</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Internal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ditunjuk Unit Kerja Pemohon sebagai kontak utama dan koordinator jawaban atas pertanyaan Staff Legal. Disebut PIC Bisnis di SNX-LEG-SOP-02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Risiko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Tingkat risiko sebuah isu: Tinggi, Sedang, atau Rendah menurut SNX-LEG-SOP-02 butir 4.8 sampai 4.10.</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Telaah</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Peninjauan kontrak oleh Staff Legal memakai form ini sebelum penandatanganan. Disebut review di SNX-LEG-SOP-02.</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Pemohon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kerja SINUX yang meminta telaah kontrak. Disebut Pemohon di SNX-LEG-SOP-02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Terkait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kerja yang memberi masukan sesuai bidangnya, misalnya Finance, Accounting &amp; Tax, IT, atau fungsi keamanan informasi (SNX-LEG-SOP-02).</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Vendor/Pemasok</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Pihak di luar SINUX yang menyediakan barang atau jasa kepada SINUX berdasarkan kontrak. SNX-ISMS-FRM-03 menyebutnya supplier.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Status Butir</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Status pada Daftar Periksa memakai empat nilai berikut (USULAN).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Status</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Isi kontrak memenuhi hal yang diperiksa dan tidak ada isu.</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Perlu Tindak Lanjut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isu yang harus diselesaikan sebelum penandatanganan.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Perlu Pembahasan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Isu perlu dibahas dengan Vendor/Pemasok atau Unit Kerja Terkait.</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Relevan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Hal yang diperiksa tidak berlaku bagi kontrak ini.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pada form ini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lembar dan menyerahkannya ke Line Manager Legal (Petunjuk Pengisian butir 1 sampai 21). Peran ini dipetakan ke jabatan Legal &amp; Compliance (JA-09) di SNX-HR-ORG-01.</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dokumen (USULAN). Mengonfirmasi target penyelesaian, memeriksa lembar, menandatangani baris Diperiksa oleh, dan memberi Persetujuan Legal atau mengembalikan lembar (butir 5 dan 22 sampai 24). Peran ini dipetakan ke jabatan Legal &amp; Compliance (JA-08) di SNX-HR-ORG-01.</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Pemohon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Menyediakan informasi dan dokumen kontrak yang diminta Staff Legal (butir 2).</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Internal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Menjadi kontak utama Unit Kerja Pemohon, mengoordinasikan jawaban atas pertanyaan Staff Legal, dan mengonfirmasi ketentuan komersial pada Nilai Kontrak (butir 2 dan butir Daftar Periksa 3.1).</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Terkait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Memberi masukan sesuai bidangnya atas aspek yang diminta Staff Legal (butir 13).</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Pejabat Berwenang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Mengonfirmasi dasar kewenangan penandatanganan SINUX (butir Daftar Periksa 9.2) dan menandatangani baris Disetujui oleh (butir 25, USULAN). Pemegang jabatannya mengikuti SNX-LEG-SOP-02.</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Pembuat, pemeriksa, dan penyetuju form ini tercantum di blok Approval pada halaman depan.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Staff Legal membuat satu lembar dari form ini untuk tiap kontrak Vendor/Pemasok yang ditelaah, sebelum SINUX menandatangani kontrak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Staff Legal mengisi tabel Informasi Kontrak dari kontrak dan dari permintaan Unit Kerja Pemohon.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Staff Legal menulis di Nomor Referensi Permintaan nomor yang tercatat di register permintaan Legal (SNX-LEG-SOP-02 butir 6.1).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Staff Legal menulis di ID Supplier kode supplier dari Daftar Supplier SNX-ISMS-FRM-03, bila Vendor/Pemasok tercatat di sana.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Staff Legal menulis di Target Penyelesaian target yang dikonfirmasi Line Manager Legal menurut SNX-LEG-SOP-02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Staff Legal menulis di Akses informasi dan sistem SINUX yang dapat dijangkau Vendor/Pemasok.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Staff Legal menulis di Klasifikasi Informasi tingkat klasifikasi informasi itu menurut SNX-ISMS-PRO-01.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Staff Legal menulis di Tingkat Ketergantungan uraian dampak bagi SINUX bila Vendor/Pemasok berhenti melayani.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Staff Legal memakai isian Akses, Klasifikasi Informasi, dan Tingkat Ketergantungan untuk memilih butir Daftar Periksa yang relevan.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Staff Legal mengisi kolom Status tiap butir Daftar Periksa dari hasil menelaah kontrak, dengan salah satu dari empat nilai di bagian Istilah.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Staff Legal menulis alasan di kolom Catatan/Tindak Lanjut untuk butir berstatus Tidak Relevan.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Staff Legal mengisi kolom Risiko untuk butir berstatus Perlu Tindak Lanjut atau Perlu Pembahasan, dengan Tinggi, Sedang, atau Rendah menurut SNX-LEG-SOP-02 butir 4.8 sampai 4.10.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13. Staff Legal meminta masukan Unit Kerja Terkait atas aspek di luar bidang hukum, misalnya biaya, pajak, atau keamanan informasi (SNX-LEG-SOP-02 butir 6.3).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14. Staff Legal menulis masukan Unit Kerja Terkait di kolom Catatan/Tindak Lanjut.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15. Staff Legal memberi tanda centang pada hasil di tabel Hasil Telaah (USULAN). Pilihan Tidak terdapat isu berlaku bila semua butir berstatus Sesuai atau Tidak Relevan. Bila ada butir Perlu Tindak Lanjut, Staff Legal memilih Terdapat isu. Bila ada butir Perlu Pembahasan, Staff Legal memilih Diperlukan pembahasan.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16. Staff Legal menulis satu baris di tabel Temuan dan Tindak Lanjut untuk tiap butir berstatus Perlu Tindak Lanjut atau Perlu Pembahasan.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17. Staff Legal menulis di kolom Pihak yang Bertanggung Jawab nama jabatan menurut SNX-HR-ORG-01, bukan nama orang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18. Staff Legal memilih satu rekomendasi. Bila ada butir Risiko Tinggi yang belum diputus Pejabat Berwenang (SNX-LEG-SOP-02 butir 4.12), Staff Legal memilih rekomendasi ketiga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19. Staff Legal menulis dasar rekomendasi di tabel Dasar Rekomendasi.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20. Staff Legal menulis lokasi kontrak, hasil telaah, dan korespondensi di tabel Lokasi Penyimpanan Dokumen. Lokasi memakai folder Google Drive departemen Legal (USULAN, SNX-LEG-SOP-01 butir 4.24).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21. Staff Legal menyerahkan lembar ke Line Manager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22. Line Manager Legal memeriksa lembar yang diserahkan Staff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23. Line Manager Legal menandatangani baris Diperiksa oleh.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24. Line Manager Legal memberi Persetujuan Legal atau mengembalikan lembar untuk direvisi (SNX-LEG-SOP-02 butir 6.5).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25. Pejabat Berwenang menandatangani baris Disetujui oleh sebelum kontrak ditandatangani (USULAN).</w:t>
      </w:r>
    </w:p>
    <w:p w14:paraId="49B09B34" w14:textId="77777777" w:rsidR="00330634" w:rsidRDefault="00000000">
      <w:pPr>
        <w:pStyle w:val="Heading1"/>
        <w:numPr>
          <w:ilvl w:val="0"/>
          <w:numId w:val="7"/>
        </w:numPr>
        <w:spacing w:after="0"/>
      </w:pPr>
      <w:r>
        <w:t>INFORMASI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Staff Legal mengisi kolom Informasi pada tiap lembar. Isian Nomor Referensi Permintaan, ID Supplier di SNX-ISMS-FRM-03, Akses, Klasifikasi Informasi, dan Tingkat Ketergantungan berstatus (USULAN).</w:t>
      </w:r>
    </w:p>
    <w:tbl>
      <w:tblPr>
        <w:tblStyle w:val="a4"/>
        <w:tblW w:w="9528" w:type="dxa"/>
        <w:jc w:val="center"/>
        <w:tblInd w:w="0" w:type="dxa"/>
        <w:tblLayout w:type="fixed"/>
        <w:tblLook w:val="0400" w:firstRow="0" w:lastRow="0" w:firstColumn="0" w:lastColumn="0" w:noHBand="0" w:noVBand="1"/>
      </w:tblPr>
      <w:tblGrid>
        <w:gridCol w:w="3969"/>
        <w:gridCol w:w="5103"/>
      </w:tblGrid>
      <w:tr w:rsidR="00330634" w14:paraId="6C606F6C"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Informasi</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 Vendor/Pemasok</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Alamat Vendor/Pemasok</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ID Supplier di SNX-ISMS-FRM-03</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Nama/Jenis Kontrak</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Nomor Kontrak</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Barang/Layanan yang Disediakan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Nilai Kontrak</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Jangka Waktu Kontrak</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Pemohon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Internal</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Nomor Referensi Permintaan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Penerimaan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Target Penyelesaian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Akses Vendor/Pemasok ke Informasi atau Sistem SINUX</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Klasifikasi Informasi yang Diakses</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Tingkat Ketergantungan SINUX terhadap Vendor/Pemasok</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DAFTAR PERIKSA TELAAH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Hal yang Diperiksa, kolom Risiko, serta butir 4.5 Kekayaan Intelektual dan 6.4 Keadaan Kahar berstatus (USULAN). Kolom No memuat nomor butir yang dirujuk di bagian lain. Kolom Status, Risiko, dan Catatan/Tindak Lanjut diisi Staff Legal pada tiap lembar.</w:t>
      </w:r>
    </w:p>
    <w:p w14:paraId="529DFADF" w14:textId="02DADB71" w:rsidR="00330634" w:rsidRDefault="00AA0D9D" w:rsidP="00AA0D9D">
      <w:pPr>
        <w:pStyle w:val="Heading2"/>
        <w:numPr>
          <w:ilvl w:val="1"/>
          <w:numId w:val="7"/>
        </w:numPr>
      </w:pPr>
      <w:r>
        <w:t>Kelompok 1: Identitas dan Kewenangan Para Pihak</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Identitas Vendor/Pemasok</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Nama badan hukum, bentuk badan usaha, dan alamat di kontrak sama dengan dokumen legalitas Vendor/Pemasok.</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1.2</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Kewenangan Penandatangan Vendor/Pemasok</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Penandatangan Vendor/Pemasok berwenang menurut akta atau surat kuasa, dan dokumen kewenangannya sudah diterima SINUX.</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1.3</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Legalitas Vendor/Pemasok</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Akta pendirian dan perubahan, NIB, serta izin yang relevan dengan kegiatan usahanya ada dan berlaku. Rekam jejak sengketa yang relevan dan dapat diverifikasi sudah dicek.</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1.4</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Ruang Lingkup Kerja Sama</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menjelaskan batas kerja sama dan tidak tumpang tindih wilayah, produk, atau pihak dengan kontrak SINUX lain.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Kelompok 2: Ruang Lingkup dan Pelaksanaan</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Spesifikasi Layanan/Barang</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merinci barang atau layanan, jumlah, dan hasil yang diserahkan sampai cukup untuk mengukur pemenuhannya.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2.2</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Standar Layanan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standar layanan yang terukur, beserta kompensasi atau sanksi bila standar tidak tercapai.</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2.3</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Vendor/Pemasok</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kewajiban, tenggat, dan akibat wanprestasi Vendor/Pemasok, termasuk masa perbaikan.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2.4</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Perubahan Layanan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bahwa perubahan ruang lingkup, harga, atau jadwal memerlukan persetujuan tertulis SINUX.</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2.5</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Penggunaan Subkontraktor</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bahwa pemakaian subkontraktor atau pihak ketiga yang memproses data SINUX memerlukan persetujuan SINUX, dan Vendor/Pemasok tetap bertanggung jawab atas pekerjaannya.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Kelompok 3: Biaya dan Pembayaran</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Nilai Kontrak</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Nilai kontrak, mata uang, dan dasar perhitungannya sama dengan kesepakatan bisnis yang dikonfirmasi PIC Internal.</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3.2</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Ketentuan Pembayaran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jadwal, tahapan, dan syarat pembayaran. Hak menahan pembayaran atau menangguhkan layanan, serta akibat keterlambatan bayar, sudah dicek.</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3.3</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Pajak</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pajak yang menjadi beban tiap pihak dan dokumen pajak yang diterbitkan Vendor/Pemasok.</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3.4</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Biaya Tambahan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biaya di luar nilai kontrak, misalnya biaya perubahan, terminasi, atau penyesuaian harga, beserta syarat berlakunya.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Kelompok 4: Kerahasiaan, Pelindungan Data, dan Hak Kekayaan Intelektual</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Kerahasiaan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cakupan informasi rahasia, pengecualiannya, dan kewajiban menjaga kerahasiaan setelah kontrak berakhir.</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4.2</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Akses terhadap Informasi</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Informasi dan sistem SINUX yang dapat diakses Vendor/Pemasok sama dengan isian Informasi Kontrak. Informasi RESTRICTED (Internal) hanya dibagikan dengan kontrak yang berlaku dan persetujuan pemilik informasi, dan informasi SECRET tidak dibagikan kepada Vendor/Pemasok (SNX-ISMS-PRO-01).</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4.3</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Data Pribadi</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Bila Vendor/Pemasok memproses data pribadi, kontrak mengatur peran para pihak, tujuan pemrosesan, kewajiban pengamanan, dan penanganan insiden.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4.4</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Pengembalian dan Penghapusan Data</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kewajiban Vendor/Pemasok mengembalikan dan menghapus data SINUX saat kontrak berakhir.</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4.5</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Kekayaan Intelektual</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kepemilikan hasil pekerjaan, lisensi, dan batas penggunaannya sesuai kepentingan SINUX.</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Kelompok 5: Keamanan Informasi</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Keamanan Informasi</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kontrol keamanan informasi yang dipersyaratkan bagi Vendor/Pemasok, sesuai tingkat akses pada Informasi Kontrak.</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5.2</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Pemberitahuan Insiden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batas waktu dan kanal Vendor/Pemasok memberi tahu SINUX tentang insiden keamanan yang berdampak ke SINUX.</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5.3</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Hak Pemeriksaan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hak SINUX memeriksa atau mengaudit kepatuhan keamanan informasi Vendor/Pemasok, beserta tata caranya.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Kelompok 6: Risiko Hukum dan Tanggung Jawab</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Jaminan dan Kualitas</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jaminan kualitas barang atau layanan, masa garansi, dan upaya perbaikan bila hasilnya tidak sesuai.</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6.2</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Ganti Rugi</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ganti rugi atas kerugian SINUX akibat kelalaian atau wanprestasi Vendor/Pemasok.</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6.3</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Pembatasan Tanggung Jawab</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Pembatasan tanggung jawab tidak membuat SINUX menanggung risiko yang tidak proporsional, dan pengecualiannya sudah dinilai.</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6.4</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Keadaan Kahar</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keadaan kahar, kewajiban pemberitahuan, dan akibat hukumnya.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Kelompok 7: Keberlangsungan dan Pengakhiran Layanan</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Keberlangsungan Layanan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backup, redundansi, dan pemulihan layanan Vendor/Pemasok, sesuai tingkat ketergantungan SINUX pada Informasi Kontrak.</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7.2</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Jangka Waktu dan Perpanjangan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tanggal efektif, durasi, mekanisme perpanjangan, dan batas pemberitahuan. Perpanjangan otomatis, bila ada, sudah dinilai.</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7.3</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Pengakhiran Kontrak</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mengatur dasar, prosedur, akibat, dan kewajiban setelah pengakhiran, termasuk hak SINUX mengakhiri kontrak bila Vendor/Pemasok wanprestasi.</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Kelompok 8: Penyelesaian Sengketa</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Hukum dan Penyelesaian Sengketa</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mencantumkan hukum yang berlaku, forum, dan mekanisme penyelesaian sengketa, dan SINUX dapat menerimanya.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Kelompok 9: Persetujuan dan Penandatanganan</w:t>
      </w:r>
      <w:r w:rsidR="00000000"/>
    </w:p>
    <w:tbl>
      <w:tblPr>
        <w:tblStyle w:val="a4"/>
        <w:tblW w:w="9528" w:type="dxa"/>
        <w:jc w:val="center"/>
        <w:tblInd w:w="0" w:type="dxa"/>
        <w:tblLayout w:type="fixed"/>
        <w:tblLook w:val="0400" w:firstRow="0" w:lastRow="0" w:firstColumn="0" w:lastColumn="0" w:noHBand="0" w:noVBand="1"/>
      </w:tblPr>
      <w:tblGrid>
        <w:gridCol w:w="680"/>
        <w:gridCol w:w="2097"/>
        <w:gridCol w:w="2551"/>
        <w:gridCol w:w="1134"/>
        <w:gridCol w:w="1020"/>
        <w:gridCol w:w="1587"/>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9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Ditelaah</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Risiko</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Catatan/Tindak Lanjut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9.1</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Persetujuan Internal</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PIC Internal dan Unit Kerja Terkait yang dipersyaratkan sudah ada secara tertulis dan akan disimpan bersama berkas kontrak (SNX-LEG-SOP-02 butir 6.7).</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9.2</w:t>
            </w:r>
          </w:p>
        </w:tc>
        <w:tc>
          <w:tcPr>
            <w:tcW w:w="209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Kewenangan Penandatanganan SINUX</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Dasar kewenangan penandatangan SINUX (anggaran dasar, surat kuasa, atau DoA) dikonfirmasi tertulis oleh Pejabat Berwenang sebelum kontrak ditandatangani (SNX-LEG-SOP-02 butir 6.7).</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HASIL TELAAH DAN REKOMENDASI</w:t>
      </w:r>
    </w:p>
    <w:p w14:paraId="529DFADF" w14:textId="02DADB71" w:rsidR="00330634" w:rsidRDefault="00AA0D9D" w:rsidP="00AA0D9D">
      <w:pPr>
        <w:pStyle w:val="Heading2"/>
        <w:numPr>
          <w:ilvl w:val="1"/>
          <w:numId w:val="7"/>
        </w:numPr>
      </w:pPr>
      <w:r>
        <w:t>Hasil Telaah</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Beri tanda centang pada hasil yang sesuai.</w:t>
      </w:r>
    </w:p>
    <w:tbl>
      <w:tblPr>
        <w:tblStyle w:val="a4"/>
        <w:tblW w:w="9528" w:type="dxa"/>
        <w:jc w:val="center"/>
        <w:tblInd w:w="0" w:type="dxa"/>
        <w:tblLayout w:type="fixed"/>
        <w:tblLook w:val="0400" w:firstRow="0" w:lastRow="0" w:firstColumn="0" w:lastColumn="0" w:noHBand="0" w:noVBand="1"/>
      </w:tblPr>
      <w:tblGrid>
        <w:gridCol w:w="907"/>
        <w:gridCol w:w="8164"/>
      </w:tblGrid>
      <w:tr w:rsidR="00330634" w14:paraId="6C606F6C"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Pilih</w:t>
            </w:r>
          </w:p>
        </w:tc>
        <w:tc>
          <w:tcPr>
            <w:tcW w:w="816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Hasil Telaah</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terdapat isu berdasarkan pemeriksaan yang dilakukan.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Terdapat isu yang harus ditindaklanjuti sebelum penandatanganan.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Diperlukan pembahasan lebih lanjut dengan Vendor/Pemasok dan Unit Kerja Terkait.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Temuan dan Tindak Lanjut</w:t>
      </w:r>
      <w:r w:rsidR="00000000"/>
    </w:p>
    <w:tbl>
      <w:tblPr>
        <w:tblStyle w:val="a4"/>
        <w:tblW w:w="9528" w:type="dxa"/>
        <w:jc w:val="center"/>
        <w:tblInd w:w="0" w:type="dxa"/>
        <w:tblLayout w:type="fixed"/>
        <w:tblLook w:val="0400" w:firstRow="0" w:lastRow="0" w:firstColumn="0" w:lastColumn="0" w:noHBand="0" w:noVBand="1"/>
      </w:tblPr>
      <w:tblGrid>
        <w:gridCol w:w="680"/>
        <w:gridCol w:w="2324"/>
        <w:gridCol w:w="2324"/>
        <w:gridCol w:w="1871"/>
        <w:gridCol w:w="187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32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Temuan Utama dan Risiko Hukum</w:t>
            </w:r>
          </w:p>
        </w:tc>
        <w:tc>
          <w:tcPr>
            <w:tcW w:w="232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Perubahan atau Tindak Lanjut yang Diperlukan</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Pihak yang Bertanggung Jawab</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Target Penyelesaian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2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2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2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Rekomendasi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Beri tanda centang pada satu rekomendasi.</w:t>
      </w:r>
    </w:p>
    <w:tbl>
      <w:tblPr>
        <w:tblStyle w:val="a4"/>
        <w:tblW w:w="9528" w:type="dxa"/>
        <w:jc w:val="center"/>
        <w:tblInd w:w="0" w:type="dxa"/>
        <w:tblLayout w:type="fixed"/>
        <w:tblLook w:val="0400" w:firstRow="0" w:lastRow="0" w:firstColumn="0" w:lastColumn="0" w:noHBand="0" w:noVBand="1"/>
      </w:tblPr>
      <w:tblGrid>
        <w:gridCol w:w="907"/>
        <w:gridCol w:w="8164"/>
      </w:tblGrid>
      <w:tr w:rsidR="00330634" w14:paraId="6C606F6C"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Pilih</w:t>
            </w:r>
          </w:p>
        </w:tc>
        <w:tc>
          <w:tcPr>
            <w:tcW w:w="816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Rekomendasi</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Dapat dilanjutkan ke tahap persetujuan dan penandatanganan.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Dapat dilanjutkan setelah tindak lanjut yang disyaratkan diselesaikan dan diverifikasi.</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direkomendasikan untuk ditandatangani karena terdapat risiko atau isu material yang belum diselesaikan.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Dasar Rekomendasi</w:t>
      </w:r>
      <w:r w:rsidR="00000000"/>
    </w:p>
    <w:tbl>
      <w:tblPr>
        <w:tblStyle w:val="a4"/>
        <w:tblW w:w="9528" w:type="dxa"/>
        <w:jc w:val="center"/>
        <w:tblInd w:w="0" w:type="dxa"/>
        <w:tblLayout w:type="fixed"/>
        <w:tblLook w:val="0400" w:firstRow="0" w:lastRow="0" w:firstColumn="0" w:lastColumn="0" w:noHBand="0" w:noVBand="1"/>
      </w:tblPr>
      <w:tblGrid>
        <w:gridCol w:w="9072"/>
      </w:tblGrid>
      <w:tr w:rsidR="00330634" w14:paraId="6C606F6C" w14:textId="77777777">
        <w:trPr>
          <w:jc w:val="center"/>
        </w:trPr>
        <w:tc>
          <w:tcPr>
            <w:tcW w:w="9072"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Dasar Rekomendasi</w:t>
            </w:r>
          </w:p>
        </w:tc>
      </w:tr>
      <w:tr w:rsidR="00330634" w14:paraId="359B4680" w14:textId="77777777">
        <w:trPr>
          <w:jc w:val="center"/>
        </w:trPr>
        <w:tc>
          <w:tcPr>
            <w:tcW w:w="907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r>
      <w:tr w:rsidR="00330634" w14:paraId="359B4680" w14:textId="77777777">
        <w:trPr>
          <w:jc w:val="center"/>
        </w:trPr>
        <w:tc>
          <w:tcPr>
            <w:tcW w:w="907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CATATAN PEMERIKSAAN DAN PERSETUJUAN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Tabel ini mencatat pengesahan hasil telaah satu kontrak pada lembar terisi. Blok Approval di halaman depan mencatat pengesahan form ini.</w:t>
      </w:r>
    </w:p>
    <w:tbl>
      <w:tblPr>
        <w:tblStyle w:val="a4"/>
        <w:tblW w:w="9528" w:type="dxa"/>
        <w:jc w:val="center"/>
        <w:tblInd w:w="0" w:type="dxa"/>
        <w:tblLayout w:type="fixed"/>
        <w:tblLook w:val="0400" w:firstRow="0" w:lastRow="0" w:firstColumn="0" w:lastColumn="0" w:noHBand="0" w:noVBand="1"/>
      </w:tblPr>
      <w:tblGrid>
        <w:gridCol w:w="2948"/>
        <w:gridCol w:w="2494"/>
        <w:gridCol w:w="1587"/>
        <w:gridCol w:w="2041"/>
      </w:tblGrid>
      <w:tr w:rsidR="00330634" w14:paraId="6C606F6C" w14:textId="77777777">
        <w:trPr>
          <w:jc w:val="center"/>
        </w:trPr>
        <w:tc>
          <w:tcPr>
            <w:tcW w:w="294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Tahapan</w:t>
            </w:r>
          </w:p>
        </w:tc>
        <w:tc>
          <w:tcPr>
            <w:tcW w:w="249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Nama/Jabatan</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c>
          <w:tcPr>
            <w:tcW w:w="204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r>
      <w:tr w:rsidR="00330634" w14:paraId="359B4680" w14:textId="77777777">
        <w:trPr>
          <w:jc w:val="center"/>
        </w:trPr>
        <w:tc>
          <w:tcPr>
            <w:tcW w:w="294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Disusun oleh (Staff Legal)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94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Diperiksa oleh (Line Manager Legal)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94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Disetujui oleh (Pejabat Berwenang, USULAN)</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Lokasi Penyimpanan Dokumen</w:t>
      </w:r>
      <w:r w:rsidR="00000000"/>
    </w:p>
    <w:tbl>
      <w:tblPr>
        <w:tblStyle w:val="a4"/>
        <w:tblW w:w="9528" w:type="dxa"/>
        <w:jc w:val="center"/>
        <w:tblInd w:w="0" w:type="dxa"/>
        <w:tblLayout w:type="fixed"/>
        <w:tblLook w:val="0400" w:firstRow="0" w:lastRow="0" w:firstColumn="0" w:lastColumn="0" w:noHBand="0" w:noVBand="1"/>
      </w:tblPr>
      <w:tblGrid>
        <w:gridCol w:w="3969"/>
        <w:gridCol w:w="5103"/>
      </w:tblGrid>
      <w:tr w:rsidR="00330634" w14:paraId="6C606F6C"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Informasi</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kontrak yang ditelaah</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hasil telaah</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korespondensi</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Contract Review &amp; Legal Approval. Prosedur yang memakai form ini: pengajuan permintaan (6.1), penyusunan dan telaah kontrak (6.3), klasifikasi risiko (4.8 sampai 4.12), Persetujuan Legal (6.5), dan persetujuan menurut DoA (6.7).</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Contract Review Checklist. Form telaah kontrak pelanggan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Butir 4.24 memuat folder Google Drive departemen Legal sebagai repositori dokumen legal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Tempat usulan penetapan masa retensi dokumen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Sumber tingkat klasifikasi informasi dan aturan membagikan informasi ke pihak luar.</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SNX-ISMS-FRM-03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Supplier Technical &amp; Security Evaluation Records. Daftar Supplier di dalamnya memuat ID supplier dan kolom status klausul keamanan pada kontrak dan NDA. Hasil kelompok 4 dan 5 form ini dapat dipakai untuk memverifikasi kolom itu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pemetaan peran Line Manager Legal dan Staff Legal ke jabatan Legal &amp; Compliance (JA-08, JA-09).</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Lembar terisi: semua tabel dari Informasi Kontrak sampai Catatan Pemeriksaan dan Persetujuan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ditulis di tabel Lokasi Penyimpanan Dokumen pada lembar itu (Petunjuk Pengisian butir 20). Pencatat: Staff Legal. Pemilik: Line Manager Legal (kategori 4 di SNX-LEG-SOP-03, USULAN). Klasifikasi RESTRICTED (Internal) menurut SNX-ISMS-PRO-01.</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Usulan penetapan ada di SNX-LEG-SOP-03.</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yang ditelaah dan korespondensi dengan Vendor/Pemasok</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ditulis di tabel yang sama. Pencatat: Staff Legal. Pemilik: Line Manager Legal (kategori 1 di SNX-LEG-SOP-03 untuk kontrak, USULAN).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Usulan penetapan ada di SNX-LEG-SOP-03.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814"/>
        <w:gridCol w:w="3175"/>
        <w:gridCol w:w="4082"/>
      </w:tblGrid>
      <w:tr w:rsidR="00330634" w14:paraId="6C606F6C"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17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408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form ini</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8.4.2 Jenis dan cakupan pengendalian</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Staff Legal memilih butir Daftar Periksa yang relevan menurut akses Vendor/Pemasok dan tingkat ketergantungan SINUX (Petunjuk Pengisian butir 9).</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8.4.3 Informasi untuk penyedia eksternal</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Staff Legal mengecek lewat Daftar Periksa bahwa kontrak memuat persyaratan SINUX bagi Vendor/Pemasok.</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Lembar terisi punya lokasi, pemilik, dan tanda tangan pemeriksa dan penyetuju.</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5.19 Keamanan informasi dalam hubungan pemasok</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Akses dan klasifikasi informasi dicatat di Informasi Kontrak, dan ketentuannya dicek di kelompok 4 dan 5 Daftar Periksa.</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5.20 Penanganan keamanan informasi dalam perjanjian pemasok</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Kewajiban keamanan, pemberitahuan insiden, dan hak pemeriksaan dicek di kelompok 5 Daftar Periksa.</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5.22 Pemantauan, tinjauan, dan manajemen perubahan layanan pemasok</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Butir 2.4 Perubahan Layanan dan 5.3 Hak Pemeriksaan.</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legal, statutori, regulasi, dan kontraktual</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Staff Legal mengidentifikasi risiko hukum dan kontraktual atas kontrak lewat telaah.</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5.34 Privasi dan pelindungan data pribadi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Butir 4.3 Data Pribadi.</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6.6 Perjanjian kerahasiaan</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Butir 4.1 Kerahasiaan.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berstatus Draft dan baru berlaku sesudah Direktur Utama menandatangani blok Approval. Line Manager Legal meninjau form ini setiap tahun.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