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Billing &amp; Invoicing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c>
          <w:tcPr>
            <w:tcW w:w="3150" w:type="dxa"/>
            <w:tcMar>
              <w:top w:w="100" w:type="dxa"/>
              <w:left w:w="100" w:type="dxa"/>
              <w:bottom w:w="100" w:type="dxa"/>
              <w:right w:w="100" w:type="dxa"/>
            </w:tcMar>
          </w:tcPr>
          <w:p w14:paraId="35ACE07D"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Billing &amp; Invoicing</w:t>
            </w:r>
          </w:p>
        </w:tc>
      </w:tr>
      <w:tr w:rsidR="00330634" w14:paraId="6E1D175C" w14:textId="77777777">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SNX-FAT-SOP-01</w:t>
            </w:r>
          </w:p>
        </w:tc>
      </w:tr>
      <w:tr w:rsidR="00330634" w14:paraId="570F70B9" w14:textId="77777777">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c>
          <w:tcPr>
            <w:tcW w:w="3009" w:type="dxa"/>
            <w:tcMar>
              <w:top w:w="100" w:type="dxa"/>
              <w:left w:w="100" w:type="dxa"/>
              <w:bottom w:w="100" w:type="dxa"/>
              <w:right w:w="100" w:type="dxa"/>
            </w:tcMar>
          </w:tcPr>
          <w:p w14:paraId="759BB39B" w14:textId="77777777" w:rsidR="00330634" w:rsidRDefault="00000000">
            <w:pPr>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widowControl w:val="0"/>
              <w:spacing w:line="240" w:lineRule="auto"/>
              <w:jc w:val="center"/>
              <w:rPr>
                <w:b/>
                <w:bCs/>
                <w:sz w:val="24"/>
                <w:szCs w:val="24"/>
              </w:rPr>
            </w:pPr>
            <w:r>
              <w:rPr>
                <w:b/>
                <w:bCs/>
                <w:sz w:val="24"/>
                <w:szCs w:val="24"/>
              </w:rPr>
              <w:t xml:space="preserve">Description of Changes </w:t>
            </w:r>
          </w:p>
        </w:tc>
      </w:tr>
      <w:tr w:rsidR="00330634" w14:paraId="77ED44B9" w14:textId="77777777">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c>
          <w:tcPr>
            <w:tcW w:w="810" w:type="dxa"/>
            <w:tcMar>
              <w:top w:w="100" w:type="dxa"/>
              <w:left w:w="100" w:type="dxa"/>
              <w:bottom w:w="100" w:type="dxa"/>
              <w:right w:w="100" w:type="dxa"/>
            </w:tcMar>
          </w:tcPr>
          <w:p w14:paraId="323AF889"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Finance Lead</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Pengumpulan Data dan Permohonan Penagihan</w:t>
            <w:br/>
            <w:t xml:space="preserve">6.2 Penerbitan e-Faktur Pajak dan Draf Invoice</w:t>
            <w:br/>
            <w:t xml:space="preserve">6.3 Pemeriksaan dan Persetujuan</w:t>
            <w:br/>
            <w:t xml:space="preserve">6.4 Pengiriman Invoice ke Klien</w:t>
            <w:br/>
            <w:t xml:space="preserve">6.5 Pencatatan dan Pemantauan Piutang</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menjelaskan proses penerbitan invoice kepada klien PT Strategi Integrasi Nusantara (SINUX), mulai dari permohonan penagihan sampai pemantauan pelunasan.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nominal invoice sesuai PKS, PO, dan BAST yang sah; e-Faktur Pajak dan pencatatan PPh Pasal 23 sesuai ketentuan perpajakan; piutang usaha tercatat di Register Penagihan dan Penjualan; jejak pemeriksaan tersimpan di arsip digital FAT.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seluruh aktivitas penagihan atas penjualan jasa dan pekerjaan proyek SINUX, yaitu proyek pengembangan sistem dan layanan IT (IT Service Development) serta layanan konsultasi dan pekerjaan berbasis retainer atau kontrak periodik.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pengumpulan data klien dan permohonan penagihan; penerbitan e-Faktur Pajak dan draf invoice; pemeriksaan dan persetujuan; pengiriman invoice ke klien; pencatatan dan pemantauan piutang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Form Data Subskripsi Klien, Master Sales Sheet, Google Sheets, CoreTax DJP, KlikBCA Bisnis, dan Google Drive Departemen FAT.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invoice yang SINUX terima dari vendor beserta pembayarannya; pelaporan dan penyetoran pajak (SNX-FAT-SOP-05); tindak lanjut invoice yang melewati jatuh tempo (SOP Account Receivable &amp; Collection, sedang dalam peninjauan).</w:t>
      </w:r>
    </w:p>
    <w:p w14:paraId="1A2D696C" w14:textId="77777777" w:rsidR="00330634" w:rsidRDefault="00000000">
      <w:pPr>
        <w:pStyle w:val="Heading1"/>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Term</w:t>
            </w:r>
          </w:p>
        </w:tc>
        <w:tc>
          <w:tcPr>
            <w:tcW w:w="6803" w:type="dxa"/>
            <w:vAlign w:val="center"/>
          </w:tcPr>
          <w:p w14:paraId="2B782A9B" w14:textId="77777777" w:rsidR="00330634" w:rsidRDefault="00000000">
            <w:pPr>
              <w:jc w:val="center"/>
              <w:rPr>
                <w:sz w:val="24"/>
                <w:szCs w:val="24"/>
              </w:rPr>
            </w:pPr>
            <w:r>
              <w:rPr>
                <w:b/>
                <w:bCs/>
                <w:sz w:val="24"/>
                <w:szCs w:val="24"/>
              </w:rPr>
              <w:t>Definition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 secara tertulis oleh pimpinan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2FA</w:t>
            </w:r>
          </w:p>
        </w:tc>
        <w:tc>
          <w:tcPr>
            <w:tcW w:w="6803" w:type="dxa"/>
            <w:vAlign w:val="center"/>
          </w:tcPr>
          <w:p w14:paraId="6E842649" w14:textId="12DD9EBE" w:rsidR="00330634" w:rsidRDefault="00330634">
            <w:pPr>
              <w:rPr>
                <w:sz w:val="24"/>
                <w:szCs w:val="24"/>
              </w:rPr>
            </w:pPr>
            <w:r>
              <w:rPr>
                <w:b w:val="0"/>
                <w:sz w:val="24"/>
                <w:szCs w:val="24"/>
              </w:rPr>
              <w:t>Autentikasi dua faktor: masuk ke akun dengan dua bukti identitas yang berbeda.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3-way matching</w:t>
            </w:r>
          </w:p>
        </w:tc>
        <w:tc>
          <w:tcPr>
            <w:tcW w:w="6803" w:type="dxa"/>
            <w:vAlign w:val="center"/>
          </w:tcPr>
          <w:p w14:paraId="6E842649" w14:textId="12DD9EBE" w:rsidR="00330634" w:rsidRDefault="00330634">
            <w:pPr>
              <w:rPr>
                <w:sz w:val="24"/>
                <w:szCs w:val="24"/>
              </w:rPr>
            </w:pPr>
            <w:r>
              <w:rPr>
                <w:b w:val="0"/>
                <w:sz w:val="24"/>
                <w:szCs w:val="24"/>
              </w:rPr>
              <w:t>Pencocokan tiga arah antara nominal PKS, acuan PO, dan BAST.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 bukti tertulis bahwa hasil pekerjaan (deliverable), laporan milestone, atau jasa yang disepakati sudah selesai, diterima, dan disetujui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Dokumen yang mencatat pemusnahan arsip sesudah masa retensi berakhir.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Bukti Potong (Bupot)</w:t>
            </w:r>
          </w:p>
        </w:tc>
        <w:tc>
          <w:tcPr>
            <w:tcW w:w="6803" w:type="dxa"/>
            <w:vAlign w:val="center"/>
          </w:tcPr>
          <w:p w14:paraId="6E842649" w14:textId="12DD9EBE" w:rsidR="00330634" w:rsidRDefault="00330634">
            <w:pPr>
              <w:rPr>
                <w:sz w:val="24"/>
                <w:szCs w:val="24"/>
              </w:rPr>
            </w:pPr>
            <w:r>
              <w:rPr>
                <w:b w:val="0"/>
                <w:sz w:val="24"/>
                <w:szCs w:val="24"/>
              </w:rPr>
              <w:t>Bukti pemotongan PPh Pasal 23 yang klien serahkan kepada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CoreTax DJP</w:t>
            </w:r>
          </w:p>
        </w:tc>
        <w:tc>
          <w:tcPr>
            <w:tcW w:w="6803" w:type="dxa"/>
            <w:vAlign w:val="center"/>
          </w:tcPr>
          <w:p w14:paraId="6E842649" w14:textId="12DD9EBE" w:rsidR="00330634" w:rsidRDefault="00330634">
            <w:pPr>
              <w:rPr>
                <w:sz w:val="24"/>
                <w:szCs w:val="24"/>
              </w:rPr>
            </w:pPr>
            <w:r>
              <w:rPr>
                <w:b w:val="0"/>
                <w:sz w:val="24"/>
                <w:szCs w:val="24"/>
              </w:rPr>
              <w:t>Portal sistem perpajakan terintegrasi milik Direktorat Jenderal Pajak, tempat e-Faktur Pajak diterbitkan.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Data master klien</w:t>
            </w:r>
          </w:p>
        </w:tc>
        <w:tc>
          <w:tcPr>
            <w:tcW w:w="6803" w:type="dxa"/>
            <w:vAlign w:val="center"/>
          </w:tcPr>
          <w:p w14:paraId="6E842649" w14:textId="12DD9EBE" w:rsidR="00330634" w:rsidRDefault="00330634">
            <w:pPr>
              <w:rPr>
                <w:sz w:val="24"/>
                <w:szCs w:val="24"/>
              </w:rPr>
            </w:pPr>
            <w:r>
              <w:rPr>
                <w:b w:val="0"/>
                <w:sz w:val="24"/>
                <w:szCs w:val="24"/>
              </w:rPr>
              <w:t>Lima data klien untuk penagihan: nama lengkap badan usaha sesuai NPWP atau NIB, NPWP, alamat operasional dan alamat surat-menyurat resmi, kontak PIC Finance/AP klien, dan kontak PIC Proyek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Dokumen pendukung</w:t>
            </w:r>
          </w:p>
        </w:tc>
        <w:tc>
          <w:tcPr>
            <w:tcW w:w="6803" w:type="dxa"/>
            <w:vAlign w:val="center"/>
          </w:tcPr>
          <w:p w14:paraId="6E842649" w14:textId="12DD9EBE" w:rsidR="00330634" w:rsidRDefault="00330634">
            <w:pPr>
              <w:rPr>
                <w:sz w:val="24"/>
                <w:szCs w:val="24"/>
              </w:rPr>
            </w:pPr>
            <w:r>
              <w:rPr>
                <w:b w:val="0"/>
                <w:sz w:val="24"/>
                <w:szCs w:val="24"/>
              </w:rPr>
              <w:t>Empat dokumen yang harus lengkap sebelum invoice diproses: PKS, PO/SPK, BAST, dan NPWP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DPP</w:t>
            </w:r>
          </w:p>
        </w:tc>
        <w:tc>
          <w:tcPr>
            <w:tcW w:w="6803" w:type="dxa"/>
            <w:vAlign w:val="center"/>
          </w:tcPr>
          <w:p w14:paraId="6E842649" w14:textId="12DD9EBE" w:rsidR="00330634" w:rsidRDefault="00330634">
            <w:pPr>
              <w:rPr>
                <w:sz w:val="24"/>
                <w:szCs w:val="24"/>
              </w:rPr>
            </w:pPr>
            <w:r>
              <w:rPr>
                <w:b w:val="0"/>
                <w:sz w:val="24"/>
                <w:szCs w:val="24"/>
              </w:rPr>
              <w:t>Dasar Pengenaan Pajak: nilai yang menjadi dasar perhitungan pajak.</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e-Faktur Pajak</w:t>
            </w:r>
          </w:p>
        </w:tc>
        <w:tc>
          <w:tcPr>
            <w:tcW w:w="6803" w:type="dxa"/>
            <w:vAlign w:val="center"/>
          </w:tcPr>
          <w:p w14:paraId="6E842649" w14:textId="12DD9EBE" w:rsidR="00330634" w:rsidRDefault="00330634">
            <w:pPr>
              <w:rPr>
                <w:sz w:val="24"/>
                <w:szCs w:val="24"/>
              </w:rPr>
            </w:pPr>
            <w:r>
              <w:rPr>
                <w:b w:val="0"/>
                <w:sz w:val="24"/>
                <w:szCs w:val="24"/>
              </w:rPr>
              <w:t>Faktur Pajak Keluaran elektronik, bukti pemungutan PPN yang SINUX terbitkan lewat CoreTax DJP.</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Faktur Pajak Pengganti</w:t>
            </w:r>
          </w:p>
        </w:tc>
        <w:tc>
          <w:tcPr>
            <w:tcW w:w="6803" w:type="dxa"/>
            <w:vAlign w:val="center"/>
          </w:tcPr>
          <w:p w14:paraId="6E842649" w14:textId="12DD9EBE" w:rsidR="00330634" w:rsidRDefault="00330634">
            <w:pPr>
              <w:rPr>
                <w:sz w:val="24"/>
                <w:szCs w:val="24"/>
              </w:rPr>
            </w:pPr>
            <w:r>
              <w:rPr>
                <w:b w:val="0"/>
                <w:sz w:val="24"/>
                <w:szCs w:val="24"/>
              </w:rPr>
              <w:t>Faktur Pajak yang menggantikan e-Faktur Pajak sebelumnya karena kesalahan data atau penolakan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Google Form Data Subskripsi Klien</w:t>
            </w:r>
          </w:p>
        </w:tc>
        <w:tc>
          <w:tcPr>
            <w:tcW w:w="6803" w:type="dxa"/>
            <w:vAlign w:val="center"/>
          </w:tcPr>
          <w:p w14:paraId="6E842649" w14:textId="12DD9EBE" w:rsidR="00330634" w:rsidRDefault="00330634">
            <w:pPr>
              <w:rPr>
                <w:sz w:val="24"/>
                <w:szCs w:val="24"/>
              </w:rPr>
            </w:pPr>
            <w:r>
              <w:rPr>
                <w:b w:val="0"/>
                <w:sz w:val="24"/>
                <w:szCs w:val="24"/>
              </w:rPr>
              <w:t>Formulir yang klien isi untuk menyerahkan data master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Invoice</w:t>
            </w:r>
          </w:p>
        </w:tc>
        <w:tc>
          <w:tcPr>
            <w:tcW w:w="6803" w:type="dxa"/>
            <w:vAlign w:val="center"/>
          </w:tcPr>
          <w:p w14:paraId="6E842649" w14:textId="12DD9EBE" w:rsidR="00330634" w:rsidRDefault="00330634">
            <w:pPr>
              <w:rPr>
                <w:sz w:val="24"/>
                <w:szCs w:val="24"/>
              </w:rPr>
            </w:pPr>
            <w:r>
              <w:rPr>
                <w:b w:val="0"/>
                <w:sz w:val="24"/>
                <w:szCs w:val="24"/>
              </w:rPr>
              <w:t>Dokumen resmi yang SINUX terbitkan kepada klien sebagai permintaan pembayaran atas jasa yang diserahkan atau pekerjaan proyek yang selesai.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KlikBCA Bisnis</w:t>
            </w:r>
          </w:p>
        </w:tc>
        <w:tc>
          <w:tcPr>
            <w:tcW w:w="6803" w:type="dxa"/>
            <w:vAlign w:val="center"/>
          </w:tcPr>
          <w:p w14:paraId="6E842649" w14:textId="12DD9EBE" w:rsidR="00330634" w:rsidRDefault="00330634">
            <w:pPr>
              <w:rPr>
                <w:sz w:val="24"/>
                <w:szCs w:val="24"/>
              </w:rPr>
            </w:pPr>
            <w:r>
              <w:rPr>
                <w:b w:val="0"/>
                <w:sz w:val="24"/>
                <w:szCs w:val="24"/>
              </w:rPr>
              <w:t>Internet banking perusahaan untuk memverifikasi penerimaan pembayaran (cash-in) dari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Klien</w:t>
            </w:r>
          </w:p>
        </w:tc>
        <w:tc>
          <w:tcPr>
            <w:tcW w:w="6803" w:type="dxa"/>
            <w:vAlign w:val="center"/>
          </w:tcPr>
          <w:p w14:paraId="6E842649" w14:textId="12DD9EBE" w:rsidR="00330634" w:rsidRDefault="00330634">
            <w:pPr>
              <w:rPr>
                <w:sz w:val="24"/>
                <w:szCs w:val="24"/>
              </w:rPr>
            </w:pPr>
            <w:r>
              <w:rPr>
                <w:b w:val="0"/>
                <w:sz w:val="24"/>
                <w:szCs w:val="24"/>
              </w:rPr>
              <w:t>Badan usaha yang memesan jasa SINUX lewat PKS atau PO dan menerima invoice dari SINUX (customer).</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Log ketidaksesuaian</w:t>
            </w:r>
          </w:p>
        </w:tc>
        <w:tc>
          <w:tcPr>
            <w:tcW w:w="6803" w:type="dxa"/>
            <w:vAlign w:val="center"/>
          </w:tcPr>
          <w:p w14:paraId="6E842649" w14:textId="12DD9EBE" w:rsidR="00330634" w:rsidRDefault="00330634">
            <w:pPr>
              <w:rPr>
                <w:sz w:val="24"/>
                <w:szCs w:val="24"/>
              </w:rPr>
            </w:pPr>
            <w:r>
              <w:rPr>
                <w:b w:val="0"/>
                <w:sz w:val="24"/>
                <w:szCs w:val="24"/>
              </w:rPr>
              <w:t>Catatan riwayat pembatalan dan revisi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Master Sales Sheet</w:t>
            </w:r>
          </w:p>
        </w:tc>
        <w:tc>
          <w:tcPr>
            <w:tcW w:w="6803" w:type="dxa"/>
            <w:vAlign w:val="center"/>
          </w:tcPr>
          <w:p w14:paraId="6E842649" w14:textId="12DD9EBE" w:rsidR="00330634" w:rsidRDefault="00330634">
            <w:pPr>
              <w:rPr>
                <w:sz w:val="24"/>
                <w:szCs w:val="24"/>
              </w:rPr>
            </w:pPr>
            <w:r>
              <w:rPr>
                <w:b w:val="0"/>
                <w:sz w:val="24"/>
                <w:szCs w:val="24"/>
              </w:rPr>
              <w:t>Lembar kerja yang memuat data master klien, status PKS, nilai PO, dan skema pembayaran, dan menjadi rujukan Finance Staff dan Finance Lead.</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Overdue</w:t>
            </w:r>
          </w:p>
        </w:tc>
        <w:tc>
          <w:tcPr>
            <w:tcW w:w="6803" w:type="dxa"/>
            <w:vAlign w:val="center"/>
          </w:tcPr>
          <w:p w14:paraId="6E842649" w14:textId="12DD9EBE" w:rsidR="00330634" w:rsidRDefault="00330634">
            <w:pPr>
              <w:rPr>
                <w:sz w:val="24"/>
                <w:szCs w:val="24"/>
              </w:rPr>
            </w:pPr>
            <w:r>
              <w:rPr>
                <w:b w:val="0"/>
                <w:sz w:val="24"/>
                <w:szCs w:val="24"/>
              </w:rPr>
              <w:t>Kategori invoice yang melewati tanggal jatuh tempo.</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Finance/AP klien</w:t>
            </w:r>
          </w:p>
        </w:tc>
        <w:tc>
          <w:tcPr>
            <w:tcW w:w="6803" w:type="dxa"/>
            <w:vAlign w:val="center"/>
          </w:tcPr>
          <w:p w14:paraId="6E842649" w14:textId="12DD9EBE" w:rsidR="00330634" w:rsidRDefault="00330634">
            <w:pPr>
              <w:rPr>
                <w:sz w:val="24"/>
                <w:szCs w:val="24"/>
              </w:rPr>
            </w:pPr>
            <w:r>
              <w:rPr>
                <w:b w:val="0"/>
                <w:sz w:val="24"/>
                <w:szCs w:val="24"/>
              </w:rPr>
              <w:t>Kontak klien di bagian Finance atau Accounts Payable yang menerima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PIC Proyek klien</w:t>
            </w:r>
          </w:p>
        </w:tc>
        <w:tc>
          <w:tcPr>
            <w:tcW w:w="6803" w:type="dxa"/>
            <w:vAlign w:val="center"/>
          </w:tcPr>
          <w:p w14:paraId="6E842649" w14:textId="12DD9EBE" w:rsidR="00330634" w:rsidRDefault="00330634">
            <w:pPr>
              <w:rPr>
                <w:sz w:val="24"/>
                <w:szCs w:val="24"/>
              </w:rPr>
            </w:pPr>
            <w:r>
              <w:rPr>
                <w:b w:val="0"/>
                <w:sz w:val="24"/>
                <w:szCs w:val="24"/>
              </w:rPr>
              <w:t>Kontak operasional klien untuk proyek yang ditagih.</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Piutang usaha (AR)</w:t>
            </w:r>
          </w:p>
        </w:tc>
        <w:tc>
          <w:tcPr>
            <w:tcW w:w="6803" w:type="dxa"/>
            <w:vAlign w:val="center"/>
          </w:tcPr>
          <w:p w14:paraId="6E842649" w14:textId="12DD9EBE" w:rsidR="00330634" w:rsidRDefault="00330634">
            <w:pPr>
              <w:rPr>
                <w:sz w:val="24"/>
                <w:szCs w:val="24"/>
              </w:rPr>
            </w:pPr>
            <w:r>
              <w:rPr>
                <w:b w:val="0"/>
                <w:sz w:val="24"/>
                <w:szCs w:val="24"/>
              </w:rPr>
              <w:t>Hak tagih SINUX kepada klien atas penjualan jasa secara kredit.</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 atau kontrak: kesepakatan tertulis SINUX dan klien tentang hak dan kewajiban, nilai proyek, jadwal pembayaran, dan syarat khusus.</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PO/SPK</w:t>
            </w:r>
          </w:p>
        </w:tc>
        <w:tc>
          <w:tcPr>
            <w:tcW w:w="6803" w:type="dxa"/>
            <w:vAlign w:val="center"/>
          </w:tcPr>
          <w:p w14:paraId="6E842649" w14:textId="12DD9EBE" w:rsidR="00330634" w:rsidRDefault="00330634">
            <w:pPr>
              <w:rPr>
                <w:sz w:val="24"/>
                <w:szCs w:val="24"/>
              </w:rPr>
            </w:pPr>
            <w:r>
              <w:rPr>
                <w:b w:val="0"/>
                <w:sz w:val="24"/>
                <w:szCs w:val="24"/>
              </w:rPr>
              <w:t>Purchase Order atau Surat Perintah Kerja: dokumen pemesanan resmi dari klien yang menjadi dasar SINUX memulai pekerjaan dan menerbitkan invoice.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PPh Pasal 23</w:t>
            </w:r>
          </w:p>
        </w:tc>
        <w:tc>
          <w:tcPr>
            <w:tcW w:w="6803" w:type="dxa"/>
            <w:vAlign w:val="center"/>
          </w:tcPr>
          <w:p w14:paraId="6E842649" w14:textId="12DD9EBE" w:rsidR="00330634" w:rsidRDefault="00330634">
            <w:pPr>
              <w:rPr>
                <w:sz w:val="24"/>
                <w:szCs w:val="24"/>
              </w:rPr>
            </w:pPr>
            <w:r>
              <w:rPr>
                <w:b w:val="0"/>
                <w:sz w:val="24"/>
                <w:szCs w:val="24"/>
              </w:rPr>
              <w:t>Pajak Penghasilan yang klien potong dari pembayaran atas jasa SINUX.</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 atas penyerahan Jasa Kena Pajak (JKP) kepada klien.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Register Penagihan dan Penjualan</w:t>
            </w:r>
          </w:p>
        </w:tc>
        <w:tc>
          <w:tcPr>
            <w:tcW w:w="6803" w:type="dxa"/>
            <w:vAlign w:val="center"/>
          </w:tcPr>
          <w:p w14:paraId="6E842649" w14:textId="12DD9EBE" w:rsidR="00330634" w:rsidRDefault="00330634">
            <w:pPr>
              <w:rPr>
                <w:sz w:val="24"/>
                <w:szCs w:val="24"/>
              </w:rPr>
            </w:pPr>
            <w:r>
              <w:rPr>
                <w:b w:val="0"/>
                <w:sz w:val="24"/>
                <w:szCs w:val="24"/>
              </w:rPr>
              <w:t>Lembar Google Sheets untuk mencatat status invoice, jatuh tempo, dan rekonsiliasi piutang.</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TOP (Term of Payment)</w:t>
            </w:r>
          </w:p>
        </w:tc>
        <w:tc>
          <w:tcPr>
            <w:tcW w:w="6803" w:type="dxa"/>
            <w:vAlign w:val="center"/>
          </w:tcPr>
          <w:p w14:paraId="6E842649" w14:textId="12DD9EBE" w:rsidR="00330634" w:rsidRDefault="00330634">
            <w:pPr>
              <w:rPr>
                <w:sz w:val="24"/>
                <w:szCs w:val="24"/>
              </w:rPr>
            </w:pPr>
            <w:r>
              <w:rPr>
                <w:b w:val="0"/>
                <w:sz w:val="24"/>
                <w:szCs w:val="24"/>
              </w:rPr>
              <w:t>Jangka waktu klien melunasi invoice sampai tanggal jatuh tempo. Lama dan titik awal hitungannya ada di butir 4.8.</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Finance Staff memproses permohonan penagihan hanya bila empat dokumen pendukung (bagian 3) sudah lengkap dan tervalidasi.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Sebelum permohonan penagihan diproses, klien sudah mengisi Google Form Data Subskripsi Klien dan Business Development sudah menyinkronkan hasilnya ke Master Sales Sheet.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Staff melakukan 3-way matching atas setiap permohonan penagihan sebelum e-Faktur Pajak diterbitkan.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Finance Staff tidak menerbitkan atau mengirim invoice kepada klien tanpa persetujuan tertulis Finance Lead.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Penyerahan Jasa Kena Pajak (JKP) dikenai PPN 12% (USULAN). Finance Staff menerbitkan e-Faktur Pajak secara elektronik lewat CoreTax DJP dalam proses penerbitan invoice, dengan urutan di butir 6.2.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Klien memotong PPh Pasal 23 sebesar 2% dari DPP atas pembayaran jasa. Finance Staff mencatat estimasi pemotongan di Register Penagihan dan Penjualan dan merekonsiliasinya saat Bukti Potong diterima dari klien.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mengirim berkas penagihan lewat email resmi ke PIC Finance/AP klien dan PIC Proyek klien sebagai PDF terkunci (non-editable). Finance Staff mengirim hard copy, yaitu cetakan bertanda tangan dan berstempel, lewat kurir hanya bila PKS mensyaratkannya.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TOP standar adalah 14 hari kalender sejak tanggal invoice (USULAN). Direktur Utama menyetujui TOP di atas 14 hari secara tertulis sebelum PKS atau PO disepakati. Finance Lead tidak mengubah atau memperpanjang jatuh tempo melebihi TOP standar tanpa persetujuan Direktur Utama. Invoice yang melewati jatuh tempo masuk kategori Overdue.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Finance Staff mencatat alasan dan bukti persetujuan untuk setiap perubahan nominal, revisi tanggal, atau pembatalan invoice yang sudah disetujui, di arsip digital FAT (butir 4.12).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Dokumen keuangan, daftar harga (rate card), data invoice klien, dan informasi rekening bank berklasifikasi RESTRICTED (Internal) menurut SNX-ISMS-PRO-01 (USULAN). Akses ke folder Google Drive Departemen FAT dan Register Penagihan dan Penjualan hanya untuk personel FAT dan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Finance Staff memakai 2FA pada akun CoreTax DJP dan KlikBCA Bisnis dan tidak membagikan akun itu kepada pihak yang tidak berkepentingan.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Finance Staff menyimpan invoice, e-Faktur Pajak, PKS, PO, dan BAST sebagai PDF di folder Google Drive Departemen FAT, dengan struktur folder Tahun / Nama Klien / Nomor Invoice. Masa simpannya ada di bagian 11.</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Finance Staff memperbarui Register Penagihan dan Penjualan setiap status invoice berubah. Statusnya Draf, Terkirim, Lunas, atau Cancel.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Finance Staff mencatat riwayat pembatalan dan revisi invoice di log ketidaksesuaian. Finance Lead mengevaluasi log itu setiap bulan sebagai bahan kendali mutu.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Penetapan pelaku pada butir 4.3, 4.9, 4.11, 4.12, 4.14, dan 4.16, pemantauan Overdue di bagian 9, serta Finance Lead sebagai pemilik rekaman di bagian 11, berstatus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Finance Staff mencatat pemusnahan arsip sesudah masa retensi berakhir dalam Berita Acara Pemusnahan Dokumen. Finance Lead dan Direktur Utama menyetujui pemusnahan itu.</w:t>
      </w:r>
    </w:p>
    <w:p w14:paraId="1EE36325" w14:textId="77777777" w:rsidR="00330634" w:rsidRDefault="00000000">
      <w:pPr>
        <w:pStyle w:val="Heading1"/>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jc w:val="center"/>
              <w:rPr>
                <w:sz w:val="24"/>
                <w:szCs w:val="24"/>
              </w:rPr>
            </w:pPr>
            <w:r>
              <w:rPr>
                <w:b/>
                <w:bCs/>
                <w:sz w:val="24"/>
                <w:szCs w:val="24"/>
              </w:rPr>
              <w:t>Authority</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Mengirim tautan Google Form Data Subskripsi Klien ke klien baru saat PKS ditandatangani, memastikan klien melengkapi data master klien, dan memperbarui Master Sales Sheet secara rutin (butir 6.1). Peran ini dipetakan dari Tim Sales di SOP Billing dan Invoicing versi tim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Tidak ada wewenang persetujuan di SOP ini.</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Mengajukan permohonan penagihan ke Finance Staff setelah milestone atau pekerjaan selesai, memastikan dokumen pendukung tersedia, dan mengonfirmasi data master klien sudah lengkap (butir 6.1). Jabatan Divisi Operation yang belum punya pemegang menurut SNX-HR-ORG-01.</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Mengajukan permohonan penagihan; tidak menyetujui invoice.</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Memeriksa kelengkapan permohonan penagihan, mencocokkan PKS, PO, dan BAST, menerbitkan e-Faktur Pajak, menyusun draf invoice, mengirim invoice ke klien, mencatat transaksi di Register Penagihan dan Penjualan, memantau kas masuk, dan menangani revisi atau pembatalan invoice setelah persetujuan Finance Lead (butir 6.1 sampai 6.5 dan bagian 9). Belum dipetakan ke jabatan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Menerbitkan e-Faktur Pajak dan mengirim invoice; batas wewenang ada di butir 4.4.</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Pemilik SOP ini. Memeriksa draf invoice, e-Faktur Pajak, dan dokumen pendukung terhadap Master Sales Sheet dan Google Form Data Subskripsi Klien; memastikan kelengkapan dan keakuratan semua atribut invoice; memeriksa perhitungan PPN dan catatan PPh Pasal 23; meneruskan draf ke Direktur Utama bila TOP di atas standar; memberi persetujuan tertulis sebelum invoice dikirim (butir 6.3). Belum dipetakan ke jabatan di SNX-HR-ORG-01 (butir K-13).</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draf invoice sebelum dikirim, serta revisi dan pembatalan invoice; batas wewenang atas jatuh tempo ada di butir 4.8.</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Memberi persetujuan tertulis atas TOP di atas TOP standar (butir 4.8 dan 6.3) dan, bersama Finance Lead, atas pemusnahan arsip (butir 4.16).</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Menyetujui TOP di atas TOP standar dan pemusnahan arsip.</w:t>
            </w:r>
          </w:p>
        </w:tc>
      </w:tr>
      <w:tr w:rsidR="00330634" w14:paraId="78C18CB5" w14:textId="77777777">
        <w:trP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Klien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both"/>
              <w:rPr>
                <w:sz w:val="24"/>
                <w:szCs w:val="24"/>
              </w:rPr>
            </w:pPr>
            <w:r>
              <w:rPr>
                <w:b w:val="0"/>
                <w:sz w:val="24"/>
                <w:szCs w:val="24"/>
              </w:rPr>
              <w:t>Mengisi Google Form Data Subskripsi Klien, menerima invoice dan berkas penagihan, membayar, memotong PPh Pasal 23, dan menyerahkan Bukti Potong. Klien adalah pihak luar SINUX.</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both"/>
              <w:rPr>
                <w:sz w:val="24"/>
                <w:szCs w:val="24"/>
              </w:rPr>
            </w:pPr>
            <w:r>
              <w:rPr>
                <w:b w:val="0"/>
                <w:sz w:val="24"/>
                <w:szCs w:val="24"/>
              </w:rPr>
              <w:t>Menolak invoice; penolakan ditangani sesuai bagian 9.</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numPr>
          <w:ilvl w:val="1"/>
          <w:numId w:val="7"/>
        </w:numPr>
      </w:pPr>
      <w:bookmarkStart w:id="10" w:name="_nlknbxi8j6cc" w:colFirst="0" w:colLast="0"/>
      <w:bookmarkEnd w:id="10"/>
      <w:r>
        <w:t xml:space="preserve">Pengumpulan Data dan Permohonan Penagihan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tautan Google Form Data Subskripsi Klien ke klien baru saat PKS ditandatangani.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Tautan Google Form terkirim ke klien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Cek respons Google Form klien sampai kelima data master klien terisi.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Respons Google Form dengan lima data master klien terisi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Master Sales Sheet dengan respons Google Form, status PKS, nilai PO, dan skema pembayaran.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Master Sales Sheet terbarui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Ajukan permohonan penagihan ke Finance Staff dengan lampiran BAST bertanda tangan, acuan PO, PKS, dan NPWP klien setelah milestone atau pekerjaan selesai.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Form Permohonan Penagihan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di permohonan bahwa data master klien di Master Sales Sheet dan Google Form sudah lengkap.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data master klien di permohonan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kelengkapan dokumen pendukung dan kecocokan data antara permohonan penagihan, respons Google Form, dan Master Sales Sheet.</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kelengkapan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Penerbitan e-Faktur Pajak dan Draf Invoice</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3-way matching atas permohonan penagihan (butir 4.3).</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3-way matching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Terbitkan e-Faktur Pajak di CoreTax DJP dengan PPN sesuai DPP transaksi (butir 4.5).</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e-Faktur Pajak (PDF)</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invoice di templat resmi Google Sheets: nomor invoice, tanggal penerbitan, rincian pekerjaan, nominal PPN, estimasi PPh Pasal 23, dan jatuh tempo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invoice di Google Sheets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Pemeriksaan dan Persetujuan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draf invoice, e-Faktur Pajak, dan dokumen pendukung terhadap 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Finance Lead</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perhitungan PPN dan catatan PPh Pasal 23 di draf invoice.</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pemeriksaan pajak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Teruskan draf invoice ke Direktur Utama bila TOP di atas TOP standar (butir 4.8).</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Draf invoice diteruskan ke Direktur Utama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persetujuan tertulis atas TOP di atas TOP standar.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tertulis Direktur Utama</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persetujuan tertulis untuk pengiriman invoice bila draf dan dokumen sudah sesuai.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Persetujuan tertulis Finance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Pengiriman Invoice ke Klien</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email penagihan berisi lampiran PDF invoice, e-Faktur Pajak, BAST, PO, dan PKS ke PIC Finance/AP klien dan PIC Proyek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Email penagihan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Cetak berkas penagihan bila PKS mensyaratkan hard copy.</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penagihan cetak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Bubuhkan tanda tangan dan stempel perusahaan pada berkas cetak.</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cetak bertanda tangan dan berstempel</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berkas cetak ke alamat penagihan klien lewat kurir.</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Berkas cetak terkirim</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ke klien bahwa email atau kiriman kurir sudah diterima.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Konfirmasi penerimaan dari klien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tanggal penerimaan resmi.</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Tanggal penerimaan resmi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numPr>
          <w:ilvl w:val="1"/>
          <w:numId w:val="7"/>
        </w:numPr>
      </w:pPr>
      <w:r>
        <w:t xml:space="preserve">Pencatatan dan Pemantauan Piutang</w:t>
      </w:r>
      <w:r w:rsidR="00000000"/>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Aktivitas</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Output / Rekaman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transaksi penagihan, termasuk tanggal kirim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Baris transaksi di Register Penagihan dan Penjualan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Pantau kas masuk dari klien setiap hari lewat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Hasil pemantauan kas masuk</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Rekonsiliasi piutang setelah pembayaran klien diterima.</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Piutang terekonsiliasi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Ubah status invoice menjadi Lunas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Status Lunas di Register Penagihan dan Penjualan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Rekonsiliasi estimasi pemotongan PPh Pasal 23 dengan Bukti Potong saat Bukti Potong diterima dari klien (butir 4.6).</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Bukti Potong tercatat di Register Penagihan dan Penjualan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059871" cy="6840000"/>
            <wp:docPr id="1" name="Picture 1"/>
            <wp:cNvGraphicFramePr>
              <a:graphicFrameLocks noChangeAspect="1"/>
            </wp:cNvGraphicFramePr>
            <a:graphic>
              <a:graphicData uri="http://schemas.openxmlformats.org/drawingml/2006/picture">
                <pic:pic>
                  <pic:nvPicPr>
                    <pic:cNvPr id="0" name="FAT-SOP-01_flow.png"/>
                    <pic:cNvPicPr/>
                  </pic:nvPicPr>
                  <pic:blipFill>
                    <a:blip r:embed="rId11"/>
                    <a:stretch>
                      <a:fillRect/>
                    </a:stretch>
                  </pic:blipFill>
                  <pic:spPr>
                    <a:xfrm>
                      <a:off x="0" y="0"/>
                      <a:ext cx="405987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penerbitan invoice kepada klien, dari permohonan penagihan sampai pemantauan pelunasan.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SLA / Timing</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kas masuk lewat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hari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status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kali status berubah (butir 4.13)</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Setiap bulan (butir 4.14)</w:t>
            </w:r>
          </w:p>
        </w:tc>
      </w:tr>
    </w:tbl>
    <w:p w14:paraId="31AF9526" w14:textId="77777777" w:rsidR="00330634" w:rsidRDefault="00330634">
      <w:pPr>
        <w:rPr>
          <w:sz w:val="24"/>
          <w:szCs w:val="24"/>
        </w:rPr>
      </w:pPr>
    </w:p>
    <w:p w14:paraId="37F9AFA4" w14:textId="77777777" w:rsidR="00330634" w:rsidRDefault="00000000">
      <w:pPr>
        <w:pStyle w:val="Heading1"/>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c>
          <w:tcPr>
            <w:tcW w:w="2745" w:type="dxa"/>
            <w:tcMar>
              <w:top w:w="100" w:type="dxa"/>
              <w:left w:w="100" w:type="dxa"/>
              <w:bottom w:w="100" w:type="dxa"/>
              <w:right w:w="100" w:type="dxa"/>
            </w:tcMar>
          </w:tcPr>
          <w:p w14:paraId="00D40272" w14:textId="5BAA7698" w:rsidR="00330634" w:rsidRDefault="00330634">
            <w:pPr>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spacing w:after="120" w:line="252" w:lineRule="auto"/>
              <w:jc w:val="both"/>
              <w:rPr>
                <w:sz w:val="24"/>
                <w:szCs w:val="24"/>
              </w:rPr>
            </w:pPr>
            <w:r>
              <w:rPr>
                <w:b/>
                <w:sz w:val="24"/>
                <w:szCs w:val="24"/>
              </w:rPr>
              <w:t>Penanganan</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pendukung atau data master klien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tidak memproses permohonan penagihan itu (butir 4.1 dan 4.2).</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Kesalahan data pada draf invoice atau e-Faktur Pajak, atau klien menolak invoice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menerbitkan Surat Pembatalan atau Revisi Invoice dan Faktur Pajak Pengganti lewat CoreTax DJP setelah Finance Lead menyetujui, lalu mencatat alasan dan bukti persetujuan (butir 4.9) serta riwayatnya di log ketidaksesuaian (butir 4.14).</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Draf invoice memuat TOP di atas TOP standar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Lead meneruskan draf ke Direktur Utama untuk persetujuan tertulis (butir 4.8 dan 6.3).</w:t>
            </w:r>
          </w:p>
        </w:tc>
      </w:tr>
      <w:tr w:rsidR="00330634" w14:paraId="10BD2F91" w14:textId="77777777">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melewati jatuh tempo (Overdue)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both"/>
              <w:rPr>
                <w:sz w:val="24"/>
                <w:szCs w:val="24"/>
              </w:rPr>
            </w:pPr>
            <w:r>
              <w:rPr>
                <w:b w:val="0"/>
                <w:sz w:val="24"/>
                <w:szCs w:val="24"/>
              </w:rPr>
              <w:t>Finance Staff meneruskan pemantauan sesuai SOP Account Receivable &amp; Collection. SOP itu sedang dalam peninjauan dan berada di luar scope SOP ini.</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pemilik SOP ini, memantau kepatuhan terhadap SOP ini lewat Register Penagihan dan Penjualan dan log ketidaksesuaian.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jc w:val="center"/>
        </w:trPr>
        <w:tc>
          <w:tcPr>
            <w:tcW w:w="2268" w:type="dxa"/>
            <w:vAlign w:val="center"/>
          </w:tcPr>
          <w:p w14:paraId="5B3215B8" w14:textId="77777777" w:rsidR="00330634" w:rsidRDefault="00000000">
            <w:pPr>
              <w:jc w:val="center"/>
              <w:rPr>
                <w:sz w:val="24"/>
                <w:szCs w:val="24"/>
              </w:rPr>
            </w:pPr>
            <w:r>
              <w:rPr>
                <w:b/>
                <w:bCs/>
                <w:sz w:val="24"/>
                <w:szCs w:val="24"/>
              </w:rPr>
              <w:t>Kode / Dokumen</w:t>
            </w:r>
          </w:p>
        </w:tc>
        <w:tc>
          <w:tcPr>
            <w:tcW w:w="6803" w:type="dxa"/>
            <w:vAlign w:val="center"/>
          </w:tcPr>
          <w:p w14:paraId="2B782A9B" w14:textId="77777777" w:rsidR="00330634" w:rsidRDefault="00000000">
            <w:pPr>
              <w:jc w:val="center"/>
              <w:rPr>
                <w:sz w:val="24"/>
                <w:szCs w:val="24"/>
              </w:rPr>
            </w:pPr>
            <w:r>
              <w:rPr>
                <w:b/>
                <w:bCs/>
                <w:sz w:val="24"/>
                <w:szCs w:val="24"/>
              </w:rPr>
              <w:t>Keterangan</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pelaporan dan penyetoran pajak, di luar scope SOP ini.</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 Finance Lead dan Finance Staff belum dipetakan ke jabatan (butir K-13).</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RESTRICTED (Internal).</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sedang dalam peninjauan; mengatur penagihan invoice kepada klien dan pendataan piutang, termasuk tindak lanjut Overdue.</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 Permohonan Penagihan (Billing Request Form), diisi Project Manager; Lampiran 1 SOP Billing dan Invoicing versi tim, isinya belum tersedia.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 Invoice Resmi FAT; Lampiran 2 SOP Billing dan Invoicing versi tim, isinya belum tersedia.</w:t>
            </w:r>
          </w:p>
        </w:tc>
      </w:tr>
      <w:tr w:rsidR="00330634" w14:paraId="5EBDA026" w14:textId="77777777">
        <w:trPr>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Format Register Penagihan dan Penjualan; Lampiran 4 SOP Billing dan Invoicing versi tim, isinya belum tersedia.</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jc w:val="center"/>
              <w:rPr>
                <w:sz w:val="24"/>
                <w:szCs w:val="24"/>
              </w:rPr>
            </w:pPr>
            <w:r>
              <w:rPr>
                <w:b/>
                <w:bCs/>
                <w:sz w:val="24"/>
                <w:szCs w:val="24"/>
              </w:rPr>
              <w:t>Retensi</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Invoice, e-Faktur Pajak, PKS, PO, dan BAST (PDF)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struktur Tahun / Nama Klien / Nomor Invoice (butir 4.12);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PPh Pasal 23 dari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Register Penagihan dan Penjualan (butir 6.5); lokasi berkas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Finance Lead dan Direktur Utama atas invoice dan 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persetujuan atas perubahan atau pembatalan invoice di arsip digital FAT (butir 4.9); lokasi persetujuan lainnya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Sheets; akses personel FAT dan Direktur Utama (butir 4.10);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Business Development; lokasi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Minimal 10 tahun</w:t>
            </w:r>
          </w:p>
        </w:tc>
      </w:tr>
      <w:tr w:rsidR="00330634" w14:paraId="359B4680" w14:textId="77777777">
        <w:trP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both"/>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Klausul di bawah berstatus (USULAN, dikonfirmasi konsultan).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dan masa simpan arsip di butir 4.12; 8.2 (Persyaratan untuk produk dan jasa), untuk invoice yang mengikuti PKS dan PO di butir 4.1 dan 4.3; 8.5 (Produksi dan penyediaan jasa), untuk pencocokan sebelum e-Faktur Pajak diterbitkan di butir 4.3; 8.6 (Pelepasan produk dan jasa), untuk persetujuan Finance Lead sebelum invoice dikirim ke klien di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4.10; Annex A 5.15 (Kontrol akses), untuk pembatasan akses di butir 4.10; Annex A 5.33 (Perlindungan rekaman), untuk butir 4.10 dan 4.12; Annex A 8.5 (Autentikasi aman), untuk 2FA di butir 4.11.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