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Campaign &amp; Activity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Campaign &amp; Activity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pelaksanaan campaign dan aktivitas pemasaran SINUX, satu baris per campaign atau aktivitas, beserta materi eksternal yang dipakai tiap campaign atau aktivitas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tiap materi eksternal yang dipakai sebuah campaign atau aktivitas tertaut ke ID Persetujuan Materi di SNX-MKT-REG-01, sehingga materi itu punya persetujuan dan verifikasi klaim yang tercatat sebelum dipublikasikan.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Materi final yang telah disetujui, bukti verifikasi klaim, dan catatan persetujuan tersimpan di SNX-MKT-REG-01 dan ditelusuri dari register ini lewat ID itu.</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campaign dan aktivitas pemasaran SINUX untuk kebutuhan eksternal, yaitu campaign, event, dan webinar (SNX-HR-JA-01, JA-06 uraian 4), beserta materi eksternal yang dipakainya: company profile, website, social media, product brochure, presentation deck, campaign material, dan event collateral. Pencatatan berjalan sejak campaign atau aktivitas dicatat sampai selesai atau dibatalkan.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dengan SNX-MKT-REG-01 (USULAN): SNX-MKT-REG-01 memuat tiap versi materi eksternal, yaitu nama materi, channel, versi, PIC, Reviewer, Approver, tanggal persetujuan, status publikasi, lokasi file final, serta klaim dan bukti pendukungnya. Register ini mencatat campaign dan aktivitas yang memakai materi itu, dan untuk materi hanya memuat ID Persetujuan Materi, tanpa isi baris SNX-MKT-REG-01.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hanya untuk materi yang dipakai pihak di luar SINUX.</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materi dan verifikasi klaim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SNX-MKT-REG-01. Register ini hanya menautkannya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anggaran, target, dan evaluasi hasil marketing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lead kepada Sales dan hasil campaign berupa lead</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pemasaran SINUX di luar campaign, misalnya event atau webinar.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Campaign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pemasaran SINUX yang dijalankan dengan satu nama, di satu channel atau lebih, selama satu periode.</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di luar SINUX, misalnya website, akun social media, atau acara.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 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di Tabel 1 SNX-MKT-REG-01 yang mencatat satu versi dari satu materi di satu channel (SNX-MKT-REG-01 butir 4.1). Baris itu berstatus Disetujui atau Terbit bila versi sudah disetujui.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SINUX pakai untuk kebutuhan eksternal, seperti satu brosur atau satu konten social media.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campaign atau aktivitas. Ditulis dengan nama jabatan, bukan nama orang.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Campaign atau Aktivitas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empat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Direncanakan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Campaign atau aktivitas sudah tercatat di Tabel 1 dan belum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Berjalan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Campaign atau aktivitas sedang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Selesai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Campaign atau aktivitas sudah selesai dijalankan.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Dibatalkan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Campaign atau aktivitas tidak jadi dijalankan, atau dihentikan sebelum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Tabel 1 mencatat satu campaign atau satu aktivitas. Tabel 2 memakai nomor baris Tabel 1. Tabel 3 memuat satu baris per materi yang dipakai, dengan nomor campaign atau aktivitasnya di kolom No Campaign atau Aktivitas.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campaign atau aktivitas di Tabel 1 sebelum campaign atau aktivitas itu dijalankan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Brand &amp; Marketing menulis nama campaign atau aktivitas di Tabel 1 dengan satu ejaan yang tetap. SNX-MKT-REG-03 merujuk nama itu di kolom Campaign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Brand &amp; Marketing mencatat tiap materi eksternal yang dipakai campaign atau aktivitas di Tabel 3, dengan ID Persetujuan Materi dari SNX-MKT-REG-01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Brand &amp; Marketing memakai materi hanya bila barisnya di SNX-MKT-REG-01 berstatus Disetujui atau Terbit dan kolom Tanggal Persetujuannya terisi (USULAN). Ketentuan ini sejalan dengan wewenang JA-06 menjadwalkan publikasi setelah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tidak menyetujui versi yang masih memuat klaim tanpa bukti pendukung, atau klaim yang Pemverifikasi tolak (SNX-MKT-REG-01 butir 4.13). Karena itu klaim materi yang dipakai campaign atau aktivitas sudah diverifikasi saat barisnya Disetujui atau Terbit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mengecek baris materi di SNX-MKT-REG-01 sebelum materi dipakai, lalu menulis tanggal pengecekan di Tabel 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Bila materi yang sudah dipakai ternyata tidak punya baris Disetujui atau Terbit di SNX-MKT-REG-01, Brand &amp; Marketing menghentikan pemakaiannya dan melapor kepada VP Commercial. VP Commercial memutuskan tindak lanjutnya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Bila campaign atau aktivitas beralih ke versi baru sebuah materi, Brand &amp; Marketing menambah baris baru di Tabel 3 dengan ID Persetujuan Materi versi baru sesudah versi itu Disetujui, dan tidak menghapus baris versi lama. Versi baru memakai baris baru di SNX-MKT-REG-01 (SNX-MKT-REG-01 butir 4.8;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Register ini berklasifikasi INTERNAL menurut SNX-ISMS-PRO-01 (USULAN). Klasifikasi tiap materi ditetapkan di SNX-MKT-REG-01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Brand &amp; Marketing menyimpan register di lokasi yang tertulis pada tabel Rekaman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dan uraian tugas jabatan ada di SNX-HR-JA-01. Peran Reviewer, Approver, dan Pemverifikasi atas materi diatur di SNX-MKT-REG-01, bukan di register ini.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dan PIC campaign atau aktivitas. Mencatat campaign dan aktivitas di Tabel 1 dan Tabel 2, mencatat materi yang dipakai di Tabel 3, mengecek baris materi di SNX-MKT-REG-01, dan menghentikan pemakaian materi tanpa persetujuan (butir 4.2 sampai 4.5, 4.7, 4.9, dan 4.11). Tugas mengelola event, webinar, dan campaign ada di uraian JA-06 butir 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ini dan atasan langsung Brand &amp; Marketing. Memutuskan tindak lanjut bila materi dipakai tanpa persetujuan (butir 4.8) dan menetapkan struktur kolom register (bagian Isi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menulis satu baris di Tabel 1 untuk setiap campaign atau aktivitas sebelum dijalankan (butir 4.1 dan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nama campaign atau aktivitas di kolom Nama Campaign atau Aktivitas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satu jenis di kolom Jenis: Campaign, Event, Webinar, atau Lainnya beserta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nama produk atau layanan SINUX yang dibahas campaign atau aktivitas di kolom Produk/Layanan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jabatan yang bertanggung jawab atas campaign atau aktivitas di kolom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tanggal mulai di kolom Tanggal Mulai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menulis tanggal selesai, atau tanggal pembatalan, di kolom Tanggal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Brand &amp; Marketing menulis salah satu dari empat nilai di kolom Status dan mengubahnya tiap kali status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menulis kode aktivitas dari SNX-MKT-RPT-01 di kolom Kode Aktivitas, dan mengosongkannya bila aktivitas tidak punya kode di 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menulis satu baris di Tabel 3 per materi yang dipakai (butir 4.4). Kolom No Campaign atau Aktivitas memuat nomor baris campaign atau aktivitasnya di Tabel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menulis satu jenis konten di kolom Jenis Konten/Channel: Company profile, Website, Social media, Product brochure, Presentation deck, Campaign material, Event collateral, atau Lainnya beserta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menulis nama channel tempat materi tampil di sebelah jenis konten, bila materi punya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nomor baris materi dari Tabel 1 SNX-MKT-REG-01 di kolom ID Persetujuan Materi (butir 4.4 dan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menulis tanggal pengecekan baris materi di SNX-MKT-REG-01 di kolom Tanggal Pengecekan Persetujuan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Brand &amp; Marketing membiarkan kosong sel yang tidak punya data, termasuk Tabel 3 untuk campaign atau aktivitas yang tidak memakai materi eksternal.</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tersedia untuk 10 baris, dan Brand &amp; Marketing menambah baris bila perlu. Sel data kosong dan diisi menurut bagian Cara Mengisi. Kolom No sudah bernomor di ketiga tabel. Struktur kolom Tabel 1 sampai Tabel 3 berstatus (USULAN) sampai VP Commercial menetapkannya.</w:t>
      </w:r>
    </w:p>
    <w:p w14:paraId="529DFADF" w14:textId="02DADB71" w:rsidR="00330634" w:rsidRDefault="00AA0D9D" w:rsidP="00AA0D9D">
      <w:pPr>
        <w:pStyle w:val="Heading2"/>
        <w:numPr>
          <w:ilvl w:val="1"/>
          <w:numId w:val="7"/>
        </w:numPr>
      </w:pPr>
      <w:r>
        <w:t>Tabel 1. Campaign dan Aktivitas</w:t>
      </w:r>
      <w:r w:rsidR="00000000"/>
    </w:p>
    <w:tbl>
      <w:tblPr>
        <w:tblStyle w:val="a4"/>
        <w:tblW w:w="9528" w:type="dxa"/>
        <w:jc w:val="center"/>
        <w:tblInd w:w="0" w:type="dxa"/>
        <w:tblLayout w:type="fixed"/>
        <w:tblLook w:val="0400" w:firstRow="0" w:lastRow="0" w:firstColumn="0" w:lastColumn="0" w:noHBand="0" w:noVBand="1"/>
      </w:tblPr>
      <w:tblGrid>
        <w:gridCol w:w="567"/>
        <w:gridCol w:w="2835"/>
        <w:gridCol w:w="1304"/>
        <w:gridCol w:w="2494"/>
        <w:gridCol w:w="158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 Campaign atau Aktivitas</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Produk/Layanan Terkait</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Pelaksanaan</w:t>
      </w:r>
      <w:r w:rsidR="00000000"/>
    </w:p>
    <w:tbl>
      <w:tblPr>
        <w:tblStyle w:val="a4"/>
        <w:tblW w:w="9528" w:type="dxa"/>
        <w:jc w:val="center"/>
        <w:tblInd w:w="0" w:type="dxa"/>
        <w:tblLayout w:type="fixed"/>
        <w:tblLook w:val="0400" w:firstRow="0" w:lastRow="0" w:firstColumn="0" w:lastColumn="0" w:noHBand="0" w:noVBand="1"/>
      </w:tblPr>
      <w:tblGrid>
        <w:gridCol w:w="567"/>
        <w:gridCol w:w="1644"/>
        <w:gridCol w:w="1644"/>
        <w:gridCol w:w="1701"/>
        <w:gridCol w:w="323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Mulai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323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Kode Aktivitas (SNX-MKT-RPT-01)</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3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Materi yang Dipakai</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2041"/>
        <w:gridCol w:w="2551"/>
        <w:gridCol w:w="204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Campaign atau Aktivitas</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Konten/Channel</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ID Persetujuan Materi (SNX-MKT-REG-01)</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Pengecekan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3</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Marketing. Pemilik: VP Commercial. Pencatat: Brand &amp; Marketing. Klasifikasi menurut butir 4.10.</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final yang telah disetujui, bukti verifikasi klaim, dan catatan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SNX-MKT-REG-01 dan ditelusuri dari register ini lewat ID Persetujuan Materi. Lokasi dan pemilik mengikuti SNX-MKT-REG-01.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SNX-MKT-REG-01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campaign dan aktivitas yang dipakai SINUX untuk berkomunikasi dengan pihak di luar SINUX, beserta PIC dan jadwalnya.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materi eksternal yang dipakai campaign dan aktivitas untuk menyampaikan informasi produk dan layanan SINUX.</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produk dan layanan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tautan tiap materi ke persetujuan dan verifikasi klaim di SNX-MKT-REG-01 sebelum materi dipakai (butir 4.5 dan 4.6).</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punya lokasi simpan, pemilik, dan klasifikasi (butir 4.10 dan 4.11).</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berklasifikasi INTERNAL, dan klasifikasi materi ditetapkan di SNX-MKT-REG-01 (butir 4.10).</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customer, yang dikecualikan dari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JA-06 memuat tugas mengelola event, webinar, dan campaign serta wewenang menjadwalkan publikasi setelah persetujuan.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Content, Material &amp; Claims Approval Register. Memuat persetujuan tiap versi materi eksternal dan verifikasi klaimnya. Register ini memuat tautan materi yang dipakai campaign dan aktivitas ke ID Persetujuan Materi di sana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Memuat hasil marketing yang diteruskan kepada Sales, yang dikecualikan dari register ini. Kolom Campaign Asal di sana merujuk nama campaign di Tabel 1 register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anggaran, target, dan evaluasi hasil marketing, yang dikecualikan dari register ini. Kolom Kode Aktivitas di Tabel 2 memuat tautan ke aktivitas di sana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berlaku sesudah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