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Proposal, Quotation &amp; Pricing Control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Proposal, Quotation &amp; Pricing Control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Penyusunan Proposal</w:t>
            <w:br/>
            <w:t xml:space="preserve">6.2 Review Scope</w:t>
            <w:br/>
            <w:t xml:space="preserve">6.3 Validasi Harga dan Margin</w:t>
            <w:br/>
            <w:t xml:space="preserve">6.4 Pengecualian Komersial</w:t>
            <w:br/>
            <w:t xml:space="preserve">6.5 Otorisasi dan Pengiriman Penawaran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penyusunan proposal, validasi harga dan margin, review scope, pengecualian komersial, dan otorisasi sebelum penawaran dikirim ke customer di PT Strategi Integrasi Nusantara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penawaran memuat scope dan timeline yang sudah dikonfirmasi, harga dan margin yang sudah diverifikasi, dan hanya pengecualian komersial yang sudah disetujui, lalu dikirim sesudah review internal serta persetujuan harga dan diskon (jika ada) selesai.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Business Development dan VP Commercial, dan untuk fungsi lain yang memberi masukan atau persetujuan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penyusunan proposal dan quotation sesudah discovery meeting selesai, review scope, validasi harga dan margin, pengecualian komersial, review internal, persetujuan harga dan diskon, dan pengiriman penawaran ke customer. Proses berakhir saat Business Development mengirim penawaran dan mencatatnya di CRM.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Lokasi berkas proposal, quotation, lembar harga dan margin, dan rekaman persetujuan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prospecting, qualification, discovery meeting, negosiasi, closing, dan handover (SNX-COM-SOP-01), kecuali permintaan pengecualian komersial yang muncul di proses itu dan mengikuti butir 6.4; review dan persetujuan kontrak (SNX-LEG-SOP-02); penagihan dan invoice (SNX-FAT-SOP-01); penetapan ambang diskon dan batas margin minimum.</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Assumptions</w:t>
            </w:r>
          </w:p>
        </w:tc>
        <w:tc>
          <w:tcPr>
            <w:tcW w:w="6803" w:type="dxa"/>
            <w:vAlign w:val="center"/>
          </w:tcPr>
          <w:p w14:paraId="6E842649" w14:textId="12DD9EBE" w:rsidR="00330634" w:rsidRDefault="00330634">
            <w:pPr>
              <w:rPr>
                <w:sz w:val="24"/>
                <w:szCs w:val="24"/>
              </w:rPr>
            </w:pPr>
            <w:r>
              <w:rPr>
                <w:b w:val="0"/>
                <w:sz w:val="24"/>
                <w:szCs w:val="24"/>
              </w:rPr>
              <w:t>Kondisi yang dianggap benar saat scope, timeline, dan harga ditetapkan.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Authority Matrix</w:t>
            </w:r>
          </w:p>
        </w:tc>
        <w:tc>
          <w:tcPr>
            <w:tcW w:w="6803" w:type="dxa"/>
            <w:vAlign w:val="center"/>
          </w:tcPr>
          <w:p w14:paraId="6E842649" w14:textId="12DD9EBE" w:rsidR="00330634" w:rsidRDefault="00330634">
            <w:pPr>
              <w:rPr>
                <w:sz w:val="24"/>
                <w:szCs w:val="24"/>
              </w:rPr>
            </w:pPr>
            <w:r>
              <w:rPr>
                <w:b w:val="0"/>
                <w:sz w:val="24"/>
                <w:szCs w:val="24"/>
              </w:rPr>
              <w:t>Dokumen yang menetapkan hak tanda tangan kontrak dan otorisasi keuangan per jabatan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BOM/BOQ</w:t>
            </w:r>
          </w:p>
        </w:tc>
        <w:tc>
          <w:tcPr>
            <w:tcW w:w="6803" w:type="dxa"/>
            <w:vAlign w:val="center"/>
          </w:tcPr>
          <w:p w14:paraId="6E842649" w14:textId="12DD9EBE"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Business Requirement</w:t>
            </w:r>
          </w:p>
        </w:tc>
        <w:tc>
          <w:tcPr>
            <w:tcW w:w="6803" w:type="dxa"/>
            <w:vAlign w:val="center"/>
          </w:tcPr>
          <w:p w14:paraId="6E842649" w14:textId="12DD9EBE"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persetujuan penawaran</w:t>
            </w:r>
          </w:p>
        </w:tc>
        <w:tc>
          <w:tcPr>
            <w:tcW w:w="6803" w:type="dxa"/>
            <w:vAlign w:val="center"/>
          </w:tcPr>
          <w:p w14:paraId="6E842649" w14:textId="12DD9EBE"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Catatan review scope</w:t>
            </w:r>
          </w:p>
        </w:tc>
        <w:tc>
          <w:tcPr>
            <w:tcW w:w="6803" w:type="dxa"/>
            <w:vAlign w:val="center"/>
          </w:tcPr>
          <w:p w14:paraId="6E842649" w14:textId="12DD9EBE" w:rsidR="00330634" w:rsidRDefault="00330634">
            <w:pPr>
              <w:rPr>
                <w:sz w:val="24"/>
                <w:szCs w:val="24"/>
              </w:rPr>
            </w:pPr>
            <w:r>
              <w:rPr>
                <w:b w:val="0"/>
                <w:sz w:val="24"/>
                <w:szCs w:val="24"/>
              </w:rPr>
              <w:t>Rekaman hasil review scope untuk satu proposal: kelayakan teknis, konfirmasi timeline dan scope, dan kesesuaian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COGS</w:t>
            </w:r>
          </w:p>
        </w:tc>
        <w:tc>
          <w:tcPr>
            <w:tcW w:w="6803" w:type="dxa"/>
            <w:vAlign w:val="center"/>
          </w:tcPr>
          <w:p w14:paraId="6E842649" w14:textId="12DD9EBE" w:rsidR="00330634" w:rsidRDefault="00330634">
            <w:pPr>
              <w:rPr>
                <w:sz w:val="24"/>
                <w:szCs w:val="24"/>
              </w:rPr>
            </w:pPr>
            <w:r>
              <w:rPr>
                <w:b w:val="0"/>
                <w:sz w:val="24"/>
                <w:szCs w:val="24"/>
              </w:rPr>
              <w:t>Cost of goods sold: biaya langsung yang SINUX tanggung untuk menyediakan solusi yang dijual.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sesudah penyebutan ini SOP ini memakai COO.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Discovery meeting</w:t>
            </w:r>
          </w:p>
        </w:tc>
        <w:tc>
          <w:tcPr>
            <w:tcW w:w="6803" w:type="dxa"/>
            <w:vAlign w:val="center"/>
          </w:tcPr>
          <w:p w14:paraId="6E842649" w14:textId="12DD9EBE"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Exclusions</w:t>
            </w:r>
          </w:p>
        </w:tc>
        <w:tc>
          <w:tcPr>
            <w:tcW w:w="6803" w:type="dxa"/>
            <w:vAlign w:val="center"/>
          </w:tcPr>
          <w:p w14:paraId="6E842649" w14:textId="12DD9EBE" w:rsidR="00330634" w:rsidRDefault="00330634">
            <w:pPr>
              <w:rPr>
                <w:sz w:val="24"/>
                <w:szCs w:val="24"/>
              </w:rPr>
            </w:pPr>
            <w:r>
              <w:rPr>
                <w:b w:val="0"/>
                <w:sz w:val="24"/>
                <w:szCs w:val="24"/>
              </w:rPr>
              <w:t>Pekerjaan atau item yang tidak termasuk dalam scope dan harga penawaran.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Lembar harga dan margin</w:t>
            </w:r>
          </w:p>
        </w:tc>
        <w:tc>
          <w:tcPr>
            <w:tcW w:w="6803" w:type="dxa"/>
            <w:vAlign w:val="center"/>
          </w:tcPr>
          <w:p w14:paraId="6E842649" w14:textId="12DD9EBE" w:rsidR="00330634" w:rsidRDefault="00330634">
            <w:pPr>
              <w:rPr>
                <w:sz w:val="24"/>
                <w:szCs w:val="24"/>
              </w:rPr>
            </w:pPr>
            <w:r>
              <w:rPr>
                <w:b w:val="0"/>
                <w:sz w:val="24"/>
                <w:szCs w:val="24"/>
              </w:rPr>
              <w:t>Rekaman perhitungan harga satu penawaran: komponen harga, COGS, diskon (jika ada), dan margin.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w:t>
            </w:r>
          </w:p>
        </w:tc>
        <w:tc>
          <w:tcPr>
            <w:tcW w:w="6803" w:type="dxa"/>
            <w:vAlign w:val="center"/>
          </w:tcPr>
          <w:p w14:paraId="6E842649" w14:textId="12DD9EBE" w:rsidR="00330634" w:rsidRDefault="00330634">
            <w:pPr>
              <w:rPr>
                <w:sz w:val="24"/>
                <w:szCs w:val="24"/>
              </w:rPr>
            </w:pPr>
            <w:r>
              <w:rPr>
                <w:b w:val="0"/>
                <w:sz w:val="24"/>
                <w:szCs w:val="24"/>
              </w:rPr>
              <w:t>Selisih antara harga penawaran dan COGS.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Margin final</w:t>
            </w:r>
          </w:p>
        </w:tc>
        <w:tc>
          <w:tcPr>
            <w:tcW w:w="6803" w:type="dxa"/>
            <w:vAlign w:val="center"/>
          </w:tcPr>
          <w:p w14:paraId="6E842649" w14:textId="12DD9EBE" w:rsidR="00330634" w:rsidRDefault="00330634">
            <w:pPr>
              <w:rPr>
                <w:sz w:val="24"/>
                <w:szCs w:val="24"/>
              </w:rPr>
            </w:pPr>
            <w:r>
              <w:rPr>
                <w:b w:val="0"/>
                <w:sz w:val="24"/>
                <w:szCs w:val="24"/>
              </w:rPr>
              <w:t>Margin yang COO tetapkan untuk satu penawaran sebelum penawaran dikirim.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Pengecualian komersial</w:t>
            </w:r>
          </w:p>
        </w:tc>
        <w:tc>
          <w:tcPr>
            <w:tcW w:w="6803" w:type="dxa"/>
            <w:vAlign w:val="center"/>
          </w:tcPr>
          <w:p w14:paraId="6E842649" w14:textId="12DD9EBE" w:rsidR="00330634" w:rsidRDefault="00330634">
            <w:pPr>
              <w:rPr>
                <w:sz w:val="24"/>
                <w:szCs w:val="24"/>
              </w:rPr>
            </w:pPr>
            <w:r>
              <w:rPr>
                <w:b w:val="0"/>
                <w:sz w:val="24"/>
                <w:szCs w:val="24"/>
              </w:rPr>
              <w:t>Permintaan customer atau isi penawaran yang menyimpang dari yang sudah disetujui atau dari standar: perubahan harga, diskon, scope, atau timeline sesudah persetujuan diberikan; TOP di atas standar; klausul yang menyimpang dari template kontrak; atau komitmen di luar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Penawaran</w:t>
            </w:r>
          </w:p>
        </w:tc>
        <w:tc>
          <w:tcPr>
            <w:tcW w:w="6803" w:type="dxa"/>
            <w:vAlign w:val="center"/>
          </w:tcPr>
          <w:p w14:paraId="6E842649" w14:textId="12DD9EBE" w:rsidR="00330634" w:rsidRDefault="00330634">
            <w:pPr>
              <w:rPr>
                <w:sz w:val="24"/>
                <w:szCs w:val="24"/>
              </w:rPr>
            </w:pPr>
            <w:r>
              <w:rPr>
                <w:b w:val="0"/>
                <w:sz w:val="24"/>
                <w:szCs w:val="24"/>
              </w:rPr>
              <w:t>Proposal dan quotation untuk satu opportunity yang dikirim ke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Proposal</w:t>
            </w:r>
          </w:p>
        </w:tc>
        <w:tc>
          <w:tcPr>
            <w:tcW w:w="6803" w:type="dxa"/>
            <w:vAlign w:val="center"/>
          </w:tcPr>
          <w:p w14:paraId="6E842649" w14:textId="12DD9EBE" w:rsidR="00330634" w:rsidRDefault="00330634">
            <w:pPr>
              <w:rPr>
                <w:sz w:val="24"/>
                <w:szCs w:val="24"/>
              </w:rPr>
            </w:pPr>
            <w:r>
              <w:rPr>
                <w:b w:val="0"/>
                <w:sz w:val="24"/>
                <w:szCs w:val="24"/>
              </w:rPr>
              <w:t>Dokumen yang menjelaskan solusi SINUX untuk satu opportunity, dengan isi minimal di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opportunity terhadap kriteria di SNX-COM-SOP-01 butir 4.6 untuk menentukan apakah opportunity layak masuk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Quotation</w:t>
            </w:r>
          </w:p>
        </w:tc>
        <w:tc>
          <w:tcPr>
            <w:tcW w:w="6803" w:type="dxa"/>
            <w:vAlign w:val="center"/>
          </w:tcPr>
          <w:p w14:paraId="6E842649" w14:textId="12DD9EBE" w:rsidR="00330634" w:rsidRDefault="00330634">
            <w:pPr>
              <w:rPr>
                <w:sz w:val="24"/>
                <w:szCs w:val="24"/>
              </w:rPr>
            </w:pPr>
            <w:r>
              <w:rPr>
                <w:b w:val="0"/>
                <w:sz w:val="24"/>
                <w:szCs w:val="24"/>
              </w:rPr>
              <w:t>Dokumen yang memuat harga, diskon (jika ada), dan syarat komersial untuk satu opportunity.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informasi di SNX-ISMS-PRO-01: disimpan di sistem resmi dengan akses terbatas per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internal</w:t>
            </w:r>
          </w:p>
        </w:tc>
        <w:tc>
          <w:tcPr>
            <w:tcW w:w="6803" w:type="dxa"/>
            <w:vAlign w:val="center"/>
          </w:tcPr>
          <w:p w14:paraId="6E842649" w14:textId="12DD9EBE" w:rsidR="00330634" w:rsidRDefault="00330634">
            <w:pPr>
              <w:rPr>
                <w:sz w:val="24"/>
                <w:szCs w:val="24"/>
              </w:rPr>
            </w:pPr>
            <w:r>
              <w:rPr>
                <w:b w:val="0"/>
                <w:sz w:val="24"/>
                <w:szCs w:val="24"/>
              </w:rPr>
              <w:t>Pemeriksaan atas proposal, quotation, Catatan review scope, dan lembar harga dan margin sebelum harga dan diskon diajukan untuk persetujuan; pelakunya di butir 4.8.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scope</w:t>
            </w:r>
          </w:p>
        </w:tc>
        <w:tc>
          <w:tcPr>
            <w:tcW w:w="6803" w:type="dxa"/>
            <w:vAlign w:val="center"/>
          </w:tcPr>
          <w:p w14:paraId="6E842649" w14:textId="12DD9EBE" w:rsidR="00330634" w:rsidRDefault="00330634">
            <w:pPr>
              <w:rPr>
                <w:sz w:val="24"/>
                <w:szCs w:val="24"/>
              </w:rPr>
            </w:pPr>
            <w:r>
              <w:rPr>
                <w:b w:val="0"/>
                <w:sz w:val="24"/>
                <w:szCs w:val="24"/>
              </w:rPr>
              <w:t>Pemeriksaan bahwa solusi layak secara teknis, timeline dan scope dapat dipenuhi, dan isi proposal sesuai dengan Business Requirement.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w:t>
            </w:r>
          </w:p>
        </w:tc>
        <w:tc>
          <w:tcPr>
            <w:tcW w:w="6803" w:type="dxa"/>
            <w:vAlign w:val="center"/>
          </w:tcPr>
          <w:p w14:paraId="6E842649" w14:textId="12DD9EBE" w:rsidR="00330634" w:rsidRDefault="00330634">
            <w:pPr>
              <w:rPr>
                <w:sz w:val="24"/>
                <w:szCs w:val="24"/>
              </w:rPr>
            </w:pPr>
            <w:r>
              <w:rPr>
                <w:b w:val="0"/>
                <w:sz w:val="24"/>
                <w:szCs w:val="24"/>
              </w:rPr>
              <w:t>Term of Payment: jangka waktu pembayaran invoice oleh customer sejak tanggal invoice.</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menyusun proposal hanya sesudah qualification dan discovery meeting untuk opportunity itu selesai (SNX-COM-SOP-01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Proposal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tidak mengubah pricing sendiri dan tidak memberi diskon tanpa persetujuan (butir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hanya menawarkan fitur yang sudah tersedia, dan tidak menjanjikan timeline sebelum timeline itu dikonfirmasi menurut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Manager of Product Tech menilai kelayakan teknis solusi, dan Service Delivery Manager mengonfirmasi timeline dan scope, sebelum proposal masuk review internal (butir 6.2). Manager of Product Tech mengeskalasi solusi yang tidak feasible kepada VP Commercial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memakai lembar harga dan margin yang sudah diverifikasi Accounting &amp; Tax sebelum review internal untuk setiap penawaran, dengan data margin dan COGS dari Finance (butir 6.3). Keterlibatan Finance dan Accounting &amp; Tax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berikut berstatus (USULAN): VP Commercial merekomendasikan harga dan diskon, dan COO menyetujui harga dan diskon serta menetapkan margin final. Ambang diskon dan batas margin minimum belum ditetapkan; sampai ditetapkan, setiap penawaran memerlukan persetujuan COO atas harga dan margin final, dan setiap diskon memerlukan persetujuan COO. Hak otorisasi per jabatan mengikuti Authority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mengirim penawaran hanya sesudah review internal, persetujuan harga, dan persetujuan diskon (jika ada) selesai, dalam urutan itu. VP Commercial menolak penawaran yang belum lengkap. VP Commercial melakukan review internal; penunjukan pelaku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tidak menjanjikan pengecualian komersial kepada customer, dan tidak memuatnya dalam penawaran, sebelum pihak yang memutuskan menurut butir 4.10 menyetujuinya. Pengecualian komersial diproses menurut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Pihak yang memutuskan pengecualian komersial berstatus (USULAN): COO memutuskan diskon di luar yang sudah disetujui, harga baru, klausul yang menyimpang dari template kontrak, dan komitmen di luar kontrak, dengan rekomendasi VP Commercial dan, untuk klausul dan komitmen kontrak, rekomendasi Legal &amp; Compliance. Direktur Utama memutuskan TOP di atas standar secara tertulis (SNX-FAT-SOP-01 butir 4.8), sebelum penawaran yang memuatnya dikirim. Perubahan scope atau timeline diproses ulang lewat butir 6.2, dan lewat butir 6.3 dan 6.5 bila harga ikut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Legal &amp; Compliance mereview klausul dan syarat komersial yang menyimpang dari template kontrak dan klausul standar sebelum penawaran yang memuatnya dikirim. Titik waktu ini berstatus (USULAN); SNX-LEG-SOP-02 butir 4.3 mewajibkan Legal terlibat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Dokumen teknis untuk customer pemerintah tidak memuat harga, diskon, tier, maupun roadmap komersial (SNX-ISMS-PRO-01 butir 4.19). Business Development memisahkan informasi itu dari dokumen teknis.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Informasi harga berklasifikasi RESTRICTED (Internal) menurut SNX-COM-SOP-01 butir 4.13, dan COGS, margin, serta lembar harga dan margin memakai tingkat yang sama. Penetapan tingkat ini berstatus (USULAN). Pengiriman penawaran ke customer mengikuti aturan berbagi informasi RESTRICTED di butir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Business Development mencatat proposal dan quotation di CRM; batas waktu pembaruannya ada di bagian 8.</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prosedur di bagian 6 dari penyusunan proposal sampai pengiriman penawaran, dan mencatatnya di CRM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dan mengirim penawaran hanya dalam batas yang disetujui; mengeskalasi diskon dan scope yang belum disetujui. Tidak mengubah harga sendiri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proposal, quotation, dan pricing. Melakukan review internal, mengevaluasi margin, diskon, perubahan scope, dan komitmen di luar kontrak, merekomendasikan harga dan diskon, menerima eskalasi, dan menyimpan Catatan persetujuan penawaran (butir 4.8 dan bagian 11).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dan menolak penawaran yang belum lengkap (SNX-HR-JA-01). Menyetujui penyimpangan dari prosedur (bagian 9).</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menetapkan margin final, dan memutuskan pengecualian komersial selain TOP di atas standar serta perubahan scope dan timeline (butir 4.7 dan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harga, diskon, margin final, dan pengecualian komersial di butir 4.10.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TOP di atas standar secara tertulis sebelum penawaran yang memuatnya dikirim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TOP di atas standar.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Menilai kelayakan teknis solusi, menyusun solution design, sizing, BOM/BOQ, dan asumsi teknis proposal, dan mereview risiko implementasi, lisensi, kompatibilitas, dan dependensi vendor (butir 6.2). Menjalankan fungsi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 dan mengeskalasi solusi yang tidak feasible.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(butir 6.2). Menjalankan fungsi Delivery dalam konfirmasi timeline dan scope (USULAN);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Mengonfirmasi atau tidak mengonfirmasi timeline dan scope.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Menyediakan data margin dan COGS untuk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Accounting &amp; Tax</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Memverifikasi klasifikasi COGS dan margin, dan perlakuan PPN, di lembar harga dan margin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koreksi dokumen yang diverifikasi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Mereview klausul dan syarat komersial yang menyimpang dari template kontrak dan klausul standar, dan memberi rekomendasi (butir 4.11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legal clearance atau rekomendasi, dan meminta revisi klausul berisiko.</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Penyusunan Proposal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menyusun proposal dari Business Requirement hasil discovery meeting, dan mengisi Commercial Proposal sesudah harga dan margin terverifikasi (butir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di CRM bahwa qualification dan discovery meeting untuk opportunity itu sudah selesai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syarat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Scope of Work, Proposed Solution, Deliverables, dan Timeline dari Business Requirement.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Assumptions dan Exclusions untuk scope dan harga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Assumptions dan Exclusions di draf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Keluarkan harga, diskon, tier, dan roadmap komersial dari dokumen teknis untuk customer pemerintah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teknis tanpa informasi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draf proposal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Scope</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meminta review scope sesudah draf proposal ada dan sebelum review internal (butir 4.5).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Manager of Product Tech menilai kelayakan teknis dan Service Delivery Manager mengonfirmasi timeline dan scope, dengan melampirkan draf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solution design, sizing, BOM/BOQ,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Review risiko implementasi, lisensi, kompatibilitas, dan dependensi vendor atas solusi yang ditawarkan.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risiko teknis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Eskalasikan solusi yang tidak feasible kepada VP Commercial beserta alasannya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solusi yang tidak feasible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timeline dan scope proposal, atau sampaikan bagian yang tidak dapat dipenuhi.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Sesuaikan Scope of Work, Timeline, Assumptions, dan Exclusions dengan hasil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Scope of Work, Deliverables, dan Timeline sesuai dengan Business Requirement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kesesuaian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hasil review scope dari langkah 2 sampai 7 dalam satu 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Validasi Harga dan Margin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menyusun lembar harga dan margin untuk setiap penawaran. Batas margin minimum belum ditetapkan, sehingga COO menetapkan margin final di butir 6.5 (butir 4.7).</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Minta data margin dan COGS kepada Finance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data margin dan COGS yang relevan untuk item di BOM/BOQ.</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margin dan COGS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lembar harga dan margin: komponen harga, COGS, diskon (jika ada),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Verifikasi klasifikasi COGS, margin, dan perlakuan PPN di lembar harga dan margin (SNX-FAT-SOP-01 butir 4.5 untuk PPN).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harga dan margin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Commercial Proposal dan quotation dengan harga dan diskon dari lembar harga dan margin yang sudah terverifikasi.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Komersial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Prosedur ini berlaku sebelum dan sesudah penawaran dikirim, bila customer meminta atau penawaran memuat pengecualian komersial. Pihak yang memutuskan ditetapkan di butir 4.10.</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setiap permintaan pengecualian komersial di CRM beserta jenis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pengecualian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permintaan pengecualian komersial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dampak permintaan terhadap margin, diskon, scope, dan komitmen di luar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evaluasi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permintaan review ke Legal &amp; Compliance bila permintaan menyangkut klausul atau komitmen kontrak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rekomendasi atas klausul atau komitmen yang menyimpang dari template kontrak dan klausul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Legal &amp; Compliance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Ulangi review scope bila permintaan mengubah scope atau timeline, dan validasi harga dan margin bila harga ikut berubah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review scope dan lembar harga dan margin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Rekomendasikan keputusan atas permintaan kepada pihak yang memutuskan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pengecualian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diskon di luar yang sudah disetujui, harga baru, klausul, atau komitmen di luar kontrak yang direkomendasikan.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COO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Putuskan secara tertulis TOP di atas standar yang direkomendasikan (SNX-FAT-SOP-01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penolakan tertulis atas TOP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Perbarui penawaran sesuai keputusan: masukkan pengecualian yang disetujui dan hapus yang ditolak.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sesuai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Otorisasi dan Pengiriman Penawaran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Urutan otorisasi dan syarat pengiriman ada di butir 4.8.</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internal atas proposal, quotation, Catatan review scope, serta margin dan diskon di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Rekomendasikan harga dan diskon (jika ada) kepada COO.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harga dan tetapkan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margin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Catatan persetujuan penawaran: hasil review internal, rekomendasi, persetujuan, margin final, dan keputusan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persetujuan penawaran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bahwa review internal, persetujuan harga, dan persetujuan diskon (jika ada) sudah selesai dan pengecualian komersial hanya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lolos pemeriksaan sebelum 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bahwa aturan berbagi informasi RESTRICTED terpenuhi sebelum mengirim penawaran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siap dikirim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Kirim penawaran ke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Catat penawaran yang terkirim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Penawaran terkirim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167502" cy="6840000"/>
            <wp:docPr id="1" name="Picture 1"/>
            <wp:cNvGraphicFramePr>
              <a:graphicFrameLocks noChangeAspect="1"/>
            </wp:cNvGraphicFramePr>
            <a:graphic>
              <a:graphicData uri="http://schemas.openxmlformats.org/drawingml/2006/picture">
                <pic:pic>
                  <pic:nvPicPr>
                    <pic:cNvPr id="0" name="COM-SOP-02_flow.png"/>
                    <pic:cNvPicPr/>
                  </pic:nvPicPr>
                  <pic:blipFill>
                    <a:blip r:embed="rId11"/>
                    <a:stretch>
                      <a:fillRect/>
                    </a:stretch>
                  </pic:blipFill>
                  <pic:spPr>
                    <a:xfrm>
                      <a:off x="0" y="0"/>
                      <a:ext cx="516750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penawaran dari penyusunan proposal sampai pengiriman ke customer. Permintaan pengecualian komersial sesudah pengiriman memakai butir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atas pertanyaan customer tentang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batas waktu respons di SNX-COM-SOP-01 bagian 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timeline dan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timeline dijanjikan kepada customer (butir 4.4)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lembar harga dan margin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review internal (butir 4.6)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harga dan diskon diajukan untuk persetujuan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harga dan margin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diskon (jika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dikirim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TOP di atas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penawaran yang memuat TOP itu dikirim (butir 4.10)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penyelesaian review internal, verifikasi, dan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tenggat tiap tahap perlu diputus sebelum SOP disahkan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Manager of Product Tech menilai solusi tidak feasible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Manager of Product Tech mengeskalasi kepada VP Commercial (butir 6.2), dan VP Commercial menetapkan tindak lanjut. Business Development tidak melanjutkan ke validasi harga dan margin sampai solusi dan scope disesuaikan.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tidak dapat mengonfirmasi timeline atau scope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menjanjikan timeline kepada customer dan menyesuaikan timeline atau scope bersama Service Delivery Manager (butir 4.4).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Accounting &amp; Tax menemukan klasifikasi COGS, margin, atau perlakuan PPN yang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Accounting &amp; Tax meminta koreksi kepada Business Development. Business Development memperbaiki lembar harga dan margin, dan Accounting &amp; Tax mengulang verifikasi.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VP Commercial menolak penawaran karena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melengkapi penawaran sesuai alasan penolakan (USULAN), dan VP Commercial mengulang review internal (butir 4.8).</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tidak menyetujui harga, diskon, atau margin final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dan merevisinya sesuai keputusan COO. VP Commercial mengulang review internal dan rekomendasi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yang sudah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Pemrosesan mengikuti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Penawaran menimbulkan konflik kontrak atau isu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 dan meminta review Legal &amp; Compliance (SNX-LEG-SOP-02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COO atau Direktur Utama tidak dapat memberi persetujuan sebelum customer membutuhkan penawaran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mengirim penawaran sampai persetujuan, atau delegasi tertulis yang berlaku, diperoleh. Tata cara delegasi belum ditetapkan.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Business Development atau VP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atau VP Commercial yang perlu menyimpang memperoleh persetujuan VP Commercial atau pihak yang berwenang atas penyimpangan tersebut.</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menjadi bagian dari evaluasi kinerja dan probation Business Development dan VP Commercial.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dan lebih awal bila ambang diskon, batas margin minimum, atau Authority Matrix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Sales Process; memuat butir 4.6 (qualification), butir 4.13 (klasifikasi dan berbagi informasi RESTRICTED), dan butir 6.3 (discovery meeting). Butir 4.8 sampai 4.11 dan 6.4 dokumen itu meringkas proposal, quotation, dan harga; rinciannya ada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memuat nama jabatan, matriks peran, dan rujukan ke Authority Matrix.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tugas dan wewenang jabatan di tabel peran.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PPN (butir 4.5) dan persetujuan TOP di atas standar (butir 4.8).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(butir 6.1) dan keterlibatan Legal sebelum komitmen tertulis kepada pihak luar (butir 4.3).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memuat tingkat RESTRICTED (Internal) dan aturan dokumen teknis untuk customer pemerintah (butir 4.19).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bentuk rekaman Catatan review scope.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tempat hak tanda tangan kontrak dan otorisasi keuangan per jabatan ditetapkan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termasuk versi terkirim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4.14). Lokasi berkas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review scope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dikelola Business Development; bentuk rekamannya SNX-COM-FRM-01</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harga dan margin, beserta hasil verifikasi Accounting &amp; Tax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dikelola Business Development; berklasifikasi RESTRICTED (Internal) (butir 4.13)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baru (USULAN). Lokasi belum ditetapkan;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6.4)</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Legal &amp; Compliance atas pengecualian komersial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4.7; 7.5.3 (Pengendalian informasi terdokumentasi), untuk rekaman di bagian 11 dan pencatatan di CRM di butir 4.14; 8.2.1 (Komunikasi dengan pelanggan), untuk isi proposal dan quotation yang diterima customer di butir 4.2; 8.2.2 (Penentuan persyaratan untuk produk dan jasa), untuk kesesuaian scope dengan Business Requirement di butir 6.2; 8.2.3 (Tinjauan persyaratan untuk produk dan jasa), untuk review scope, validasi harga dan margin, review internal, dan persetujuan sebelum penawaran dikirim di butir 6.2, 6.3, dan 6.5; 8.2.4 (Perubahan persyaratan untuk produk dan jasa), untuk perubahan harga, diskon, scope, atau timeline sesudah persetujuan sebagai pengecualian komersial di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harga, COGS, dan margin di butir 4.13; Annex A 5.14 (Transfer informasi), untuk pengiriman penawaran ke customer di butir 6.5.</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