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HUMAN RESOURCES</w:t>
      </w:r>
      <w:r>
        <w:rPr>
          <w:b/>
          <w:bCs/>
          <w:sz w:val="32"/>
          <w:szCs w:val="32"/>
        </w:rPr>
        <w:br/>
      </w:r>
      <w:r w:rsidR="00AA0D9D">
        <w:rPr>
          <w:b/>
          <w:bCs/>
          <w:sz w:val="32"/>
          <w:szCs w:val="32"/>
        </w:rPr>
        <w:t xml:space="preserve">Rotation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SNX-HR-SOP-12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SOP Rotation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SNX-HR-SOP-12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Manager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 usulan</w:t>
            <w:br/>
            <w:t xml:space="preserve">6.2 Penilaian usulan</w:t>
            <w:br/>
            <w:t xml:space="preserve">6.3 Persetujuan</w:t>
            <w:br/>
            <w:t xml:space="preserve">6.4 Pelaksanaan rotasi</w:t>
            <w:br/>
            <w:t xml:space="preserve">6.5 Evaluasi hasil rotasi</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cara SINUX memindahkan tugas atau fungsi seorang karyawan ke jabatan lain pada tingkatan jabatan yang sama, untuk penyegaran atau pengembangan keterampilan karyawan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rotasi punya tujuan tertulis dan berlaku sesudah keputusan tertulis. Untuk pengembangan keterampilan, HR Manager menilai keterampilan karyawan sesudah masa rotasi.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karyawan SINUX yang menjabat di jabatan yang tercantum di SNX-HR-ORG-01 dan SNX-HR-JA-01 dan akan menjalankan tugas atau fungsi jabatan lain pada unit kerja dan tingkatan jabatan yang sama. Prosesnya mulai dari usulan Atasan Langsung Asal sampai penilaian hasil rotasi dan kembalinya karyawan ke tugas semula, termasuk pembaruan data karyawan dan pemberitahuan perubahan hak akses.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kenaikan jabatan (SNX-HR-SOP-10); penurunan jabatan (SNX-HR-SOP-11); pemindahan ke unit kerja, divisi, atau lokasi operasional lain (SNX-HR-SOP-13); perpindahan dengan tujuan selain yang tertulis di butir 4.1 (USULAN); penetapan gaji dan tunjangan akibat rotasi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rotasi dan mutasi: perpindahan sementara untuk penyegaran atau pengembangan keterampilan, dalam unit kerja dan tingkatan jabatan yang sama, dengan karyawan kembali ke tugas semula sesudah masa rotasi, adalah rotasi (SNX-HR-SOP-12). Perpindahan menetap karena kebutuhan organisasi ke unit kerja, sub divisi Operation (NOC, SOC, serta SD dan PM), atau lokasi operasional lain adalah mutasi (SNX-HR-SOP-13)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 Asal</w:t>
            </w:r>
          </w:p>
        </w:tc>
        <w:tc>
          <w:tcPr>
            <w:tcW w:w="6803" w:type="dxa"/>
            <w:vAlign w:val="center"/>
          </w:tcPr>
          <w:p w14:paraId="6E842649" w14:textId="12DD9EBE" w:rsidR="00330634" w:rsidRDefault="00330634">
            <w:pPr>
              <w:rPr>
                <w:sz w:val="24"/>
                <w:szCs w:val="24"/>
              </w:rPr>
            </w:pPr>
            <w:r>
              <w:rPr>
                <w:b w:val="0"/>
                <w:sz w:val="24"/>
                <w:szCs w:val="24"/>
              </w:rPr>
              <w:t>Jabatan yang menjadi tujuan laporan langsung dari jabatan karyawan yang dirotasi sebelum rotasi, menurut kolom Melapor ke di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 Tujuan</w:t>
            </w:r>
          </w:p>
        </w:tc>
        <w:tc>
          <w:tcPr>
            <w:tcW w:w="6803" w:type="dxa"/>
            <w:vAlign w:val="center"/>
          </w:tcPr>
          <w:p w14:paraId="6E842649" w14:textId="12DD9EBE" w:rsidR="00330634" w:rsidRDefault="00330634">
            <w:pPr>
              <w:rPr>
                <w:sz w:val="24"/>
                <w:szCs w:val="24"/>
              </w:rPr>
            </w:pPr>
            <w:r>
              <w:rPr>
                <w:b w:val="0"/>
                <w:sz w:val="24"/>
                <w:szCs w:val="24"/>
              </w:rPr>
              <w:t>Jabatan yang menjadi tujuan laporan langsung dari jabatan tujuan, menurut kolom Melapor ke di SNX-HR-ORG-01. Jabatan ini bisa sama dengan Atasan Langsung Asal.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 kerja</w:t>
            </w:r>
          </w:p>
        </w:tc>
        <w:tc>
          <w:tcPr>
            <w:tcW w:w="6803" w:type="dxa"/>
            <w:vAlign w:val="center"/>
          </w:tcPr>
          <w:p w14:paraId="6E842649" w14:textId="12DD9EBE" w:rsidR="00330634" w:rsidRDefault="00330634">
            <w:pPr>
              <w:rPr>
                <w:sz w:val="24"/>
                <w:szCs w:val="24"/>
              </w:rPr>
            </w:pPr>
            <w:r>
              <w:rPr>
                <w:b w:val="0"/>
                <w:sz w:val="24"/>
                <w:szCs w:val="24"/>
              </w:rPr>
              <w:t>Satuan batas waktu di bagian 8, tidak termasuk hari libur resmi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Jabatan tujuan</w:t>
            </w:r>
          </w:p>
        </w:tc>
        <w:tc>
          <w:tcPr>
            <w:tcW w:w="6803" w:type="dxa"/>
            <w:vAlign w:val="center"/>
          </w:tcPr>
          <w:p w14:paraId="6E842649" w14:textId="12DD9EBE" w:rsidR="00330634" w:rsidRDefault="00330634">
            <w:pPr>
              <w:rPr>
                <w:sz w:val="24"/>
                <w:szCs w:val="24"/>
              </w:rPr>
            </w:pPr>
            <w:r>
              <w:rPr>
                <w:b w:val="0"/>
                <w:sz w:val="24"/>
                <w:szCs w:val="24"/>
              </w:rPr>
              <w:t>Jabatan di SNX-HR-ORG-01 yang tugas atau fungsinya akan dijalankan karyawan yang dirotasi.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Karyawan yang dirotasi</w:t>
            </w:r>
          </w:p>
        </w:tc>
        <w:tc>
          <w:tcPr>
            <w:tcW w:w="6803" w:type="dxa"/>
            <w:vAlign w:val="center"/>
          </w:tcPr>
          <w:p w14:paraId="6E842649" w14:textId="12DD9EBE" w:rsidR="00330634" w:rsidRDefault="00330634">
            <w:pPr>
              <w:rPr>
                <w:sz w:val="24"/>
                <w:szCs w:val="24"/>
              </w:rPr>
            </w:pPr>
            <w:r>
              <w:rPr>
                <w:b w:val="0"/>
                <w:sz w:val="24"/>
                <w:szCs w:val="24"/>
              </w:rPr>
              <w:t>Karyawan SINUX yang tugas atau fungsinya diusulkan berpindah, atau sudah berpindah, lewat 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Keputusan rotasi</w:t>
            </w:r>
          </w:p>
        </w:tc>
        <w:tc>
          <w:tcPr>
            <w:tcW w:w="6803" w:type="dxa"/>
            <w:vAlign w:val="center"/>
          </w:tcPr>
          <w:p w14:paraId="6E842649" w14:textId="12DD9EBE" w:rsidR="00330634" w:rsidRDefault="00330634">
            <w:pPr>
              <w:rPr>
                <w:sz w:val="24"/>
                <w:szCs w:val="24"/>
              </w:rPr>
            </w:pPr>
            <w:r>
              <w:rPr>
                <w:b w:val="0"/>
                <w:sz w:val="24"/>
                <w:szCs w:val="24"/>
              </w:rPr>
              <w:t>Persetujuan atau penolakan tertulis atas usulan 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Keterampilan yang dituju</w:t>
            </w:r>
          </w:p>
        </w:tc>
        <w:tc>
          <w:tcPr>
            <w:tcW w:w="6803" w:type="dxa"/>
            <w:vAlign w:val="center"/>
          </w:tcPr>
          <w:p w14:paraId="6E842649" w14:textId="12DD9EBE" w:rsidR="00330634" w:rsidRDefault="00330634">
            <w:pPr>
              <w:rPr>
                <w:sz w:val="24"/>
                <w:szCs w:val="24"/>
              </w:rPr>
            </w:pPr>
            <w:r>
              <w:rPr>
                <w:b w:val="0"/>
                <w:sz w:val="24"/>
                <w:szCs w:val="24"/>
              </w:rPr>
              <w:t>Kompetensi teknis atau kompetensi perilaku jabatan tujuan di SNX-HR-JA-01 yang akan ditambah karyawan lewat 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Masa rotasi</w:t>
            </w:r>
          </w:p>
        </w:tc>
        <w:tc>
          <w:tcPr>
            <w:tcW w:w="6803" w:type="dxa"/>
            <w:vAlign w:val="center"/>
          </w:tcPr>
          <w:p w14:paraId="6E842649" w14:textId="12DD9EBE" w:rsidR="00330634" w:rsidRDefault="00330634">
            <w:pPr>
              <w:rPr>
                <w:sz w:val="24"/>
                <w:szCs w:val="24"/>
              </w:rPr>
            </w:pPr>
            <w:r>
              <w:rPr>
                <w:b w:val="0"/>
                <w:sz w:val="24"/>
                <w:szCs w:val="24"/>
              </w:rPr>
              <w:t>Jangka waktu karyawan yang dirotasi menjalankan tugas atau fungsi jabatan tujuan, tertulis di keputusan 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Pengembangan keterampilan</w:t>
            </w:r>
          </w:p>
        </w:tc>
        <w:tc>
          <w:tcPr>
            <w:tcW w:w="6803" w:type="dxa"/>
            <w:vAlign w:val="center"/>
          </w:tcPr>
          <w:p w14:paraId="6E842649" w14:textId="12DD9EBE" w:rsidR="00330634" w:rsidRDefault="00330634">
            <w:pPr>
              <w:rPr>
                <w:sz w:val="24"/>
                <w:szCs w:val="24"/>
              </w:rPr>
            </w:pPr>
            <w:r>
              <w:rPr>
                <w:b w:val="0"/>
                <w:sz w:val="24"/>
                <w:szCs w:val="24"/>
              </w:rPr>
              <w:t>Tujuan rotasi: karyawan menambah keterampilan yang dituju.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Penyegaran</w:t>
            </w:r>
          </w:p>
        </w:tc>
        <w:tc>
          <w:tcPr>
            <w:tcW w:w="6803" w:type="dxa"/>
            <w:vAlign w:val="center"/>
          </w:tcPr>
          <w:p w14:paraId="6E842649" w14:textId="12DD9EBE" w:rsidR="00330634" w:rsidRDefault="00330634">
            <w:pPr>
              <w:rPr>
                <w:sz w:val="24"/>
                <w:szCs w:val="24"/>
              </w:rPr>
            </w:pPr>
            <w:r>
              <w:rPr>
                <w:b w:val="0"/>
                <w:sz w:val="24"/>
                <w:szCs w:val="24"/>
              </w:rPr>
              <w:t>Tujuan rotasi: karyawan mengerjakan tugas atau fungsi yang berbeda dari yang biasa ia kerjakan, tanpa keterampilan yang dituju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Personal file</w:t>
            </w:r>
          </w:p>
        </w:tc>
        <w:tc>
          <w:tcPr>
            <w:tcW w:w="6803" w:type="dxa"/>
            <w:vAlign w:val="center"/>
          </w:tcPr>
          <w:p w14:paraId="6E842649" w14:textId="12DD9EBE" w:rsidR="00330634" w:rsidRDefault="00330634">
            <w:pPr>
              <w:rPr>
                <w:sz w:val="24"/>
                <w:szCs w:val="24"/>
              </w:rPr>
            </w:pPr>
            <w:r>
              <w:rPr>
                <w:b w:val="0"/>
                <w:sz w:val="24"/>
                <w:szCs w:val="24"/>
              </w:rPr>
              <w:t>Berkas kepegawaian setiap karyawan yang dipelihara HRGA Officer.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Rotasi</w:t>
            </w:r>
          </w:p>
        </w:tc>
        <w:tc>
          <w:tcPr>
            <w:tcW w:w="6803" w:type="dxa"/>
            <w:vAlign w:val="center"/>
          </w:tcPr>
          <w:p w14:paraId="6E842649" w14:textId="12DD9EBE" w:rsidR="00330634" w:rsidRDefault="00330634">
            <w:pPr>
              <w:rPr>
                <w:sz w:val="24"/>
                <w:szCs w:val="24"/>
              </w:rPr>
            </w:pPr>
            <w:r>
              <w:rPr>
                <w:b w:val="0"/>
                <w:sz w:val="24"/>
                <w:szCs w:val="24"/>
              </w:rPr>
              <w:t>Perpindahan tugas atau fungsi seorang karyawan ke tugas atau fungsi jabatan lain pada tingkatan jabatan yang sama.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Tanggal berlaku</w:t>
            </w:r>
          </w:p>
        </w:tc>
        <w:tc>
          <w:tcPr>
            <w:tcW w:w="6803" w:type="dxa"/>
            <w:vAlign w:val="center"/>
          </w:tcPr>
          <w:p w14:paraId="6E842649" w14:textId="12DD9EBE" w:rsidR="00330634" w:rsidRDefault="00330634">
            <w:pPr>
              <w:rPr>
                <w:sz w:val="24"/>
                <w:szCs w:val="24"/>
              </w:rPr>
            </w:pPr>
            <w:r>
              <w:rPr>
                <w:b w:val="0"/>
                <w:sz w:val="24"/>
                <w:szCs w:val="24"/>
              </w:rPr>
              <w:t>Tanggal rotasi mulai berlaku, tertulis di keputusan rotasi.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Tingkatan jabatan</w:t>
            </w:r>
          </w:p>
        </w:tc>
        <w:tc>
          <w:tcPr>
            <w:tcW w:w="6803" w:type="dxa"/>
            <w:vAlign w:val="center"/>
          </w:tcPr>
          <w:p w14:paraId="6E842649" w14:textId="12DD9EBE" w:rsidR="00330634" w:rsidRDefault="00330634">
            <w:pPr>
              <w:rPr>
                <w:sz w:val="24"/>
                <w:szCs w:val="24"/>
              </w:rPr>
            </w:pPr>
            <w:r>
              <w:rPr>
                <w:b w:val="0"/>
                <w:sz w:val="24"/>
                <w:szCs w:val="24"/>
              </w:rPr>
              <w:t>Jenjang sebuah jabatan di SNX-HR-ORG-01, dihitung dari jumlah garis lapor sampai Direktur Utama (JA-01). Dua jabatan satu tingkatan bila jumlah garis lapornya sama. SNX-HR-JA-01 tidak memuat grading, sehingga ukuran ini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Unit kerja</w:t>
            </w:r>
          </w:p>
        </w:tc>
        <w:tc>
          <w:tcPr>
            <w:tcW w:w="6803" w:type="dxa"/>
            <w:vAlign w:val="center"/>
          </w:tcPr>
          <w:p w14:paraId="6E842649" w14:textId="12DD9EBE" w:rsidR="00330634" w:rsidRDefault="00330634">
            <w:pPr>
              <w:rPr>
                <w:sz w:val="24"/>
                <w:szCs w:val="24"/>
              </w:rPr>
            </w:pPr>
            <w:r>
              <w:rPr>
                <w:b w:val="0"/>
                <w:sz w:val="24"/>
                <w:szCs w:val="24"/>
              </w:rPr>
              <w:t>Nama di kolom Unit pada SNX-HR-ORG-01, misalnya Commercial, Operation, atau Legal. Sub divisi NOC, SOC, serta SD dan PM berada dalam satu unit Operation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Uraian jabatan tujuan</w:t>
            </w:r>
          </w:p>
        </w:tc>
        <w:tc>
          <w:tcPr>
            <w:tcW w:w="6803" w:type="dxa"/>
            <w:vAlign w:val="center"/>
          </w:tcPr>
          <w:p w14:paraId="6E842649" w14:textId="12DD9EBE" w:rsidR="00330634" w:rsidRDefault="00330634">
            <w:pPr>
              <w:rPr>
                <w:sz w:val="24"/>
                <w:szCs w:val="24"/>
              </w:rPr>
            </w:pPr>
            <w:r>
              <w:rPr>
                <w:b w:val="0"/>
                <w:sz w:val="24"/>
                <w:szCs w:val="24"/>
              </w:rPr>
              <w:t>Bagian SNX-HR-JA-01 untuk jabatan tujuan: uraian tugas, persyaratan, kompetensi, dan wewenangnya.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 rotasi</w:t>
            </w:r>
          </w:p>
        </w:tc>
        <w:tc>
          <w:tcPr>
            <w:tcW w:w="6803" w:type="dxa"/>
            <w:vAlign w:val="center"/>
          </w:tcPr>
          <w:p w14:paraId="6E842649" w14:textId="12DD9EBE" w:rsidR="00330634" w:rsidRDefault="00330634">
            <w:pPr>
              <w:rPr>
                <w:sz w:val="24"/>
                <w:szCs w:val="24"/>
              </w:rPr>
            </w:pPr>
            <w:r>
              <w:rPr>
                <w:b w:val="0"/>
                <w:sz w:val="24"/>
                <w:szCs w:val="24"/>
              </w:rPr>
              <w:t>Pengajuan tertulis dari Atasan Langsung Asal untuk merotasi seorang karyawan.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Tujuan rotasi (ISO 9001:2015 7.2): rotasi hanya dilakukan untuk penyegaran atau pengembangan keterampilan. Usulan rotasi menyebut salah satunya, dan HR Manager memeriksanya sebelum merekomendasikan (butir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Tingkatan jabatan dan unit kerja (ISO 9001:2015 5.3): jabatan tujuan harus satu tingkatan dengan jabatan karyawan menurut definisi di bagian 3, dan berada di unit kerja yang sama (USULAN; batas rotasi dan mutasi ada di bagian 2). HR Manager menilai keduanya dari SNX-HR-ORG-01 (butir 6.2). Bila SNX-HR-FRM-01 sudah disahkan dan menetapkan tingkatan jabatan, HR Manager memakai tingkatan itu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Pengembangan keterampilan (ISO 9001:2015 7.2 dan ISO/IEC 27001:2022 7.2): untuk tujuan pengembangan keterampilan, HR Manager memeriksa bahwa keterampilan yang dituju tertulis sebagai kompetensi jabatan tujuan di SNX-HR-JA-01 (butir 6.2). Sesudah masa rotasi, HR Manager menilai kompetensi aktual karyawan terhadap keterampilan itu, mencatat kesenjangan, dan mencatat tindakan pelatihannya di SNX-HR-FRM-02 (butir 6.5,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Pemisahan peran (ISO 9001:2015 5.3): Atasan Langsung Asal mengusulkan, Atasan Langsung Tujuan menanggapi, HR Manager menilai dan merekomendasikan, lalu Direktur Utama menetapkan keputusan rotasi. HRGA Officer memperbarui data karyawan dan mengarsipkan rekaman (butir 6.4 dan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Persetujuan tertulis: SNX-HR-JA-01 butir 4.5 menyatakan keputusan pengangkatan atau pemutusan hubungan kerja dan perubahan kontrak mengikuti delegasi dan persetujuan tertulis yang berlaku. Rotasi tidak disebut di butir itu. Rotasi berlaku hanya sesudah keputusan tertulis Direktur Utama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Wewenang selama masa rotasi (ISO 9001:2015 5.3 dan ISO/IEC 27001:2022 Annex A 5.2): karyawan yang dirotasi menjalankan tugas dan wewenang jabatan tujuan menurut SNX-HR-JA-01, dalam batas keputusan rotasi. Rotasi tidak otomatis memberi hak tanda tangan kontrak atau otorisasi keuangan; hak itu mengikuti Authority Matrix (SNX-HR-JA-01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Komunikasi tanggung jawab (ISO 9001:2015 5.3): karyawan yang dirotasi menerima uraian jabatan tujuan dan mengonfirmasi secara tertulis bahwa ia memahaminya sebelum tanggal berlaku (butir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Hak akses (ISO/IEC 27001:2022 Annex A 5.18): kata mutasi di SNX-ISMS-SOP-02 berarti perpindahan peran seseorang. Rotasi diperlakukan sebagai mutasi (USULAN): Atasan Langsung Tujuan saat tanggal berlaku, dan Atasan Langsung Asal saat masa rotasi berakhir, mengajukan perubahan hak akses menurut butir Perubahan Akses saat Mutasi di SNX-ISMS-SOP-02 (butir 6.4 dan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Masa rotasi: SNX-HR-JA-01 dan SNX-HR-ORG-01 tidak menetapkan lama atau frekuensi rotasi. Direktur Utama menulis masa rotasi di tiap keputusan rotasi, dan karyawan kembali ke tugas atau fungsi semula sesudah masa rotasi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Rekaman dan klasifikasi (ISO 9001:2015 7.5.3): HRGA Officer mengarsipkan rekaman rotasi di personal file karyawan (butir 6.4 dan 6.5). Rekaman itu berisi data karyawan dan berklasifikasi RESTRICTED (Internal) menurut SNX-ISMS-PRO-01 (USULAN). Lokasi, pemilik, dan retensi ada di tabel bagian 11.</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Menilai kesetaraan tingkatan jabatan dan unit kerja, tujuan rotasi, dan keterampilan yang dituju; merekomendasikan keputusan ke Direktur Utama; menyampaikan keputusan; menilai keterampilan karyawan sesudah masa rotasi dan mencatat kesenjangannya (butir 6.2, 6.3,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keputusan kepada Direktur Utama dan tidak memutuskan rotasi, mengikuti wewenang JA-14 di SNX-HR-JA-01 yang merekomendasikan hiring, salary action, dan disciplinary action kepada approver (USULAN). Mengembalikan usulan yang tidak memenuhi bagian 4.</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HRGA Officer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usulan rotasi, memberikan uraian jabatan tujuan kepada karyawan yang dirotasi, memperbarui data karyawan, memberi tahu Atasan Langsung Tujuan dan Atasan Langsung Asal tentang perubahan tugas, dan mengarsipkan rekaman di personal file (butir 6.2, 6.4,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kelengkapan data atau dokumen, memproses administrasi dalam SOP, dan mengeskalasi keputusan HR ke HR Manager (JA-12 di SNX-HR-JA-01).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usulan rotasi: setujui atau tolak, dan menetapkan tanggal berlaku dan masa rotasi (butir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usulan, dalam batas anggaran dasar dan delegasi tertulis yang berlaku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 Asal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Mengisi dan mengirim usulan rotasi, menerima pemberitahuan keputusan, dan mengajukan perubahan hak akses menurut SNX-ISMS-SOP-02 saat masa rotasi berakhir (butir 6.1, 6.3,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Mengusulkan rotasi bawahan langsungnya; tidak memutuskannya.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 Tujuan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Menanggapi usulan rotasi, menerima pemberitahuan keputusan, mengajukan perubahan hak akses menurut SNX-ISMS-SOP-02 saat tanggal berlaku, dan melaporkan hasil kerja karyawan selama masa rotasi (butir 6.2, 6.3, 6.4,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Menyatakan bersedia atau tidak menerima karyawan yang dirotasi ke jabatan tujuan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Karyawan yang dirotasi</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Menerima uraian jabatan tujuan dan mengonfirmasi secara tertulis bahwa ia memahaminya (butir 6.4,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penjelasan atas uraian jabatan tujuan sebelum mengonfirmasi.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 usulan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Atasan Langsung Asal memulai proses. Langkah di butir 6.1 sampai 6.5 adalah (USULAN) sampai HR Manager dan Direktur Utama mengesahkan SOP ini.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Isi usulan rotasi: karyawan, jabatan tujuan, tujuan rotasi, dan keterampilan yang dituju bila tujuannya pengembangan keterampilan.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rotasi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Tambahkan pada usulan rotasi: masa rotasi dan pengaturan pekerjaan yang ditinggalkan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rotasi dengan rencana masa rotasi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usulan rotasi ke Atasan Langsung Tujuan dan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rotasi yang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Penilaian usulan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Tanggapi usulan rotasi secara tertulis: bersedia menerima karyawan atau tidak.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Tanggapan Atasan Langsung Tujuan (bagian 9 bila tidak bersedia)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kelengkapan usulan rotasi dan tanggapan Atasan Langsung Tujuan.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lengkap, atau daftar kekurangan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Nilai kesetaraan tingkatan jabatan dan unit kerja antara jabatan karyawan dan jabatan tujuan di SNX-HR-ORG-01.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kesetaraan, atau alasan pengembalian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Nilai tujuan rotasi terhadap butir 4.1, dan keterampilan yang dituju terhadap kompetensi jabatan tujuan di SNX-HR-JA-01.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tujuan rotasi, atau alasan pengembalian (bagian 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Persetujuan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rekomendasi (setujui atau tolak) beserta usulan, tanggapan, dan kesimpulan penilaian ke Direktur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rotasi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Putuskan usulan rotasi: setujui atau tolak.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rotasi tertulis, memuat tanggal berlaku dan masa rotasi bila disetujui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Sampaikan keputusan rotasi kepada Atasan Langsung Asal, Atasan Langsung Tujuan, dan karyawan yang dirotasi.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keputusan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Pelaksanaan rotasi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berikut berjalan sesudah keputusan menyetujui. Untuk keputusan menolak, lihat bagian 9.</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Berikan uraian jabatan tujuan dari SNX-HR-JA-01, termasuk batas wewenangnya, kepada karyawan yang dirotasi.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jabatan tujuan yang diterima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Konfirmasi secara tertulis bahwa uraian jabatan tujuan sudah diterima dan dipahami, sebelum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dirotasi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tertulis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Perbarui tugas dan tanggal berlaku di data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karyawan yang diperbarui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Beri tahu Atasan Langsung Tujuan tentang perubahan tugas paling lambat pada tanggal berlaku, supaya ia mengajukan perubahan hak akses.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perubahan tugas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Ajukan perubahan hak akses karyawan yang dirotasi menurut butir Perubahan Akses saat Mutasi di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perubahan hak akses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Arsipkan usulan, tanggapan, kesimpulan penilaian, rekomendasi, keputusan rotasi, dan konfirmasi karyawan di personal file.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rotasi di personal file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Evaluasi hasil rotasi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berikut berjalan pada akhir masa rotasi.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Sampaikan hasil kerja karyawan yang dirotasi selama masa rotasi kepada HR Manager.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hasil rotasi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Untuk tujuan pengembangan keterampilan, nilai kompetensi aktual karyawan terhadap keterampilan yang dituju.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Penilaian keterampilan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kesenjangan keterampilan yang ditemukan beserta tindakan pelatihannya di SNX-HR-FRM-02.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atas kesenjangan di SNX-HR-FRM-02 (USULAN), atau catatan tidak ada kesenjangan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Kembalikan tugas karyawan di data karyawan ke tugas semula.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karyawan yang diperbarui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tahu Atasan Langsung Asal tentang kembalinya karyawan ke tugas semula paling lambat pada hari masa rotasi berakhir, supaya ia mengajukan perubahan hak akses.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perubahan tugas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Ajukan perubahan hak akses karyawan yang dirotasi menurut butir Perubahan Akses saat Mutasi di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perubahan hak akses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Arsipkan laporan hasil rotasi dan penilaian keterampilan di personal file.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hasil rotasi di personal file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687395" cy="6840000"/>
            <wp:docPr id="1" name="Picture 1"/>
            <wp:cNvGraphicFramePr>
              <a:graphicFrameLocks noChangeAspect="1"/>
            </wp:cNvGraphicFramePr>
            <a:graphic>
              <a:graphicData uri="http://schemas.openxmlformats.org/drawingml/2006/picture">
                <pic:pic>
                  <pic:nvPicPr>
                    <pic:cNvPr id="0" name="HR-SOP-12_flow.png"/>
                    <pic:cNvPicPr/>
                  </pic:nvPicPr>
                  <pic:blipFill>
                    <a:blip r:embed="rId11"/>
                    <a:stretch>
                      <a:fillRect/>
                    </a:stretch>
                  </pic:blipFill>
                  <pic:spPr>
                    <a:xfrm>
                      <a:off x="0" y="0"/>
                      <a:ext cx="3687395"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rotasi (USULAN). Garis putus-putus kembali ke alur utama. Tanggapan, pengajuan perubahan hak akses, dan laporan hasil rotasi oleh Atasan Langsung Tujuan dan Atasan Langsung Asal ada di butir 6.2, 6.4, dan 6.5.</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Tanggapan atas usulan rotasi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usulan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kelengkapan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tanggapan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dan rekomendasi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usulan lengkap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rotasi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rekomendasi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keputusan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sejak keputusan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Konfirmasi uraian jabatan tujuan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dirotasi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tanggal berlaku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perubahan tugas untuk hak akses (butir 6.4 dan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pada tanggal berlaku, dan pada hari masa rotasi berakhir, mengikuti SNX-ISMS-SOP-02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hasil rotasi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Pada akhir masa rotasi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keterampilan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laporan diterima (USULAN)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Tujuan tidak bersedia menerima karyawan pada butir 6.2</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memberi tahu Atasan Langsung Asal bahwa usulan tidak dilanjutkan. Usulan baru untuk karyawan yang sama dimulai dari butir 6.1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Usulan tidak lengkap pada butir 6.2</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mengembalikan usulan ke Atasan Langsung Asal beserta daftar kekurangan. Penilaian berlanjut sesudah Atasan Langsung Asal mengirim usulan yang lengkap.</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Jabatan tujuan berada di unit kerja lain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mengembalikan usulan ke Atasan Langsung Asal beserta alasannya. Pemindahan ke unit kerja lain diproses menurut SNX-HR-SOP-13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Jabatan tujuan berada pada tingkatan yang lebih tinggi atau lebih rendah</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mengembalikan usulan ke Atasan Langsung Asal beserta alasannya. Perpindahan ke tingkatan lebih tinggi mengikuti SNX-HR-SOP-10, dan ke tingkatan lebih rendah mengikuti SNX-HR-SOP-11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Tujuan usulan bukan penyegaran atau pengembangan keterampilan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mengembalikan usulan ke Atasan Langsung Asal beserta alasannya. Usulan itu tidak diproses lewat SOP ini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Garis lapor jabatan karyawan atau jabatan tujuan berlabel menunggu konfirmasi di SNX-HR-ORG-01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meminta Direktur Utama menetapkan garis lapor yang dipakai untuk menilai tingkatan jabatan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yang dirotasi atau HR Manager ingin memprakarsai rotasi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Karyawan yang dirotasi atau HR Manager menyampaikan rencana rotasi kepada Atasan Langsung Asal. Atasan Langsung Asal memutuskan mengajukan usulan rotasi atau tidak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menolak usulan rotasi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menyampaikan keputusan beserta alasannya kepada Atasan Langsung Asal, Atasan Langsung Tujuan, dan karyawan yang dirotasi. HRGA Officer mengarsipkan keputusan di personal file. Usulan baru dimulai dari butir 6.1.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yang dirotasi belum mengonfirmasi uraian jabatan tujuan pada tanggal berlaku</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melapor ke HR Manager, lalu HR Manager meminta Direktur Utama memutuskan penundaan tanggal berlaku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selaku pemilik SOP memeriksa kepatuhan terhadap SOP ini dengan membandingkan rekaman di bagian 11 dengan langkah di bagian 6 dan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meninjau SOP ini setiap tahun, dan lebih awal bila grading jabatan ditetapkan.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kompetensi, uraian tugas, dan wewenang jabatan tujuan (butir 4.3, 4.5, 4.6, dan 6.2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daftar jabatan, unit, dan garis lapor yang menentukan Atasan Langsung Asal, Atasan Langsung Tujuan, dan tingkatan jabatan, serta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SNX-HR-FRM-01</w:t>
            </w:r>
          </w:p>
        </w:tc>
        <w:tc>
          <w:tcPr>
            <w:tcW w:w="6803" w:type="dxa"/>
            <w:vAlign w:val="center"/>
          </w:tcPr>
          <w:p w14:paraId="6E842649" w14:textId="12DD9EBE" w:rsidR="00330634" w:rsidRDefault="00330634">
            <w:pPr>
              <w:rPr>
                <w:sz w:val="24"/>
                <w:szCs w:val="24"/>
              </w:rPr>
            </w:pPr>
            <w:r>
              <w:rPr>
                <w:b w:val="0"/>
                <w:sz w:val="24"/>
                <w:szCs w:val="24"/>
              </w:rPr>
              <w:t>Employee Competency Matrix, dalam pengerjaan: standar keterampilan, pengetahuan, dan perilaku per tingkatan jabatan; acuan tingkatan jabatan bila sudah disahkan (butir 4.2 SOP ini,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SNX-HR-FRM-02</w:t>
            </w:r>
          </w:p>
        </w:tc>
        <w:tc>
          <w:tcPr>
            <w:tcW w:w="6803" w:type="dxa"/>
            <w:vAlign w:val="center"/>
          </w:tcPr>
          <w:p w14:paraId="6E842649" w14:textId="12DD9EBE" w:rsidR="00330634" w:rsidRDefault="00330634">
            <w:pPr>
              <w:rPr>
                <w:sz w:val="24"/>
                <w:szCs w:val="24"/>
              </w:rPr>
            </w:pPr>
            <w:r>
              <w:rPr>
                <w:b w:val="0"/>
                <w:sz w:val="24"/>
                <w:szCs w:val="24"/>
              </w:rPr>
              <w:t>Annual Training Plan &amp; Training Matrix, dalam pengerjaan: tempat tindakan pelatihan atas kesenjangan keterampilan (butir 4.3 dan 6.5 SOP ini,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SNX-HR-SOP-10</w:t>
            </w:r>
          </w:p>
        </w:tc>
        <w:tc>
          <w:tcPr>
            <w:tcW w:w="6803" w:type="dxa"/>
            <w:vAlign w:val="center"/>
          </w:tcPr>
          <w:p w14:paraId="6E842649" w14:textId="12DD9EBE" w:rsidR="00330634" w:rsidRDefault="00330634">
            <w:pPr>
              <w:rPr>
                <w:sz w:val="24"/>
                <w:szCs w:val="24"/>
              </w:rPr>
            </w:pPr>
            <w:r>
              <w:rPr>
                <w:b w:val="0"/>
                <w:sz w:val="24"/>
                <w:szCs w:val="24"/>
              </w:rPr>
              <w:t>Promotion: kenaikan jabatan, dikecualikan dari SOP ini (bagian 2 dan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SNX-HR-SOP-11</w:t>
            </w:r>
          </w:p>
        </w:tc>
        <w:tc>
          <w:tcPr>
            <w:tcW w:w="6803" w:type="dxa"/>
            <w:vAlign w:val="center"/>
          </w:tcPr>
          <w:p w14:paraId="6E842649" w14:textId="12DD9EBE" w:rsidR="00330634" w:rsidRDefault="00330634">
            <w:pPr>
              <w:rPr>
                <w:sz w:val="24"/>
                <w:szCs w:val="24"/>
              </w:rPr>
            </w:pPr>
            <w:r>
              <w:rPr>
                <w:b w:val="0"/>
                <w:sz w:val="24"/>
                <w:szCs w:val="24"/>
              </w:rPr>
              <w:t>Demotion: penurunan jabatan, dikecualikan dari SOP ini (bagian 2 dan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SNX-HR-SOP-13</w:t>
            </w:r>
          </w:p>
        </w:tc>
        <w:tc>
          <w:tcPr>
            <w:tcW w:w="6803" w:type="dxa"/>
            <w:vAlign w:val="center"/>
          </w:tcPr>
          <w:p w14:paraId="6E842649" w14:textId="12DD9EBE" w:rsidR="00330634" w:rsidRDefault="00330634">
            <w:pPr>
              <w:rPr>
                <w:sz w:val="24"/>
                <w:szCs w:val="24"/>
              </w:rPr>
            </w:pPr>
            <w:r>
              <w:rPr>
                <w:b w:val="0"/>
                <w:sz w:val="24"/>
                <w:szCs w:val="24"/>
              </w:rPr>
              <w:t>Mutation: pemindahan ke unit kerja, divisi, atau lokasi operasional lain, dikecualikan dari SOP ini (bagian 2 dan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perubahan hak akses saat mutasi (butir 4.8, 6.4, dan 6.5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rekaman rotasi (butir 4.10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Authority Matrix: hak tanda tangan kontrak dan otorisasi keuangan (butir 4.6 SOP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 rotasi, tanggapan Atasan Langsung Tujuan, dan kesimpulan penilaian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Rekomendasi, keputusan rotasi, dan konfirmasi tertulis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hasil rotasi dan penilaian keterampilan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7.2 (Kompetensi), 7.5.3 (Pengendalian informasi terdokumentasi).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7.2 (Kompetensi), Annex A 5.2 (Peran dan tanggung jawab keamanan informasi), 5.18 (Hak akses).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