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STANDARD OPERATIONAL PROCEDURE</w:t>
      </w:r>
      <w:r>
        <w:rPr>
          <w:b/>
          <w:bCs/>
          <w:sz w:val="32"/>
          <w:szCs w:val="32"/>
        </w:rPr>
        <w:br/>
        <w:t xml:space="preserve">DEPARTMENT </w:t>
      </w:r>
      <w:r w:rsidR="00AA0D9D">
        <w:rPr>
          <w:b/>
          <w:bCs/>
          <w:sz w:val="32"/>
          <w:szCs w:val="32"/>
        </w:rPr>
        <w:t xml:space="preserve">FINANCE, ACCOUNTING &amp; TAX</w:t>
      </w:r>
      <w:r>
        <w:rPr>
          <w:b/>
          <w:bCs/>
          <w:sz w:val="32"/>
          <w:szCs w:val="32"/>
        </w:rPr>
        <w:br/>
      </w:r>
      <w:r w:rsidR="00AA0D9D">
        <w:rPr>
          <w:b/>
          <w:bCs/>
          <w:sz w:val="32"/>
          <w:szCs w:val="32"/>
        </w:rPr>
        <w:t xml:space="preserve">Billing &amp; Invoicing</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SNX-FAT-SOP-01</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keepNext/>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Standard Operating Procedure</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rPr>
          <w:cantSplit/>
          <w:tblHeader/>
        </w:trPr>
        <w:tc>
          <w:tcPr>
            <w:tcW w:w="3150" w:type="dxa"/>
            <w:tcMar>
              <w:top w:w="100" w:type="dxa"/>
              <w:left w:w="100" w:type="dxa"/>
              <w:bottom w:w="100" w:type="dxa"/>
              <w:right w:w="100" w:type="dxa"/>
            </w:tcMar>
          </w:tcPr>
          <w:p w14:paraId="35ACE07D"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rPr>
          <w:cantSplit/>
        </w:trPr>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rPr>
          <w:cantSplit/>
        </w:trPr>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Finance, Accounting &amp; Tax - SOP Billing &amp; Invoicing</w:t>
            </w:r>
          </w:p>
        </w:tc>
      </w:tr>
      <w:tr w:rsidR="00330634" w14:paraId="6E1D175C" w14:textId="77777777">
        <w:trPr>
          <w:cantSplit/>
        </w:trPr>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SNX-FAT-SOP-01</w:t>
            </w:r>
          </w:p>
        </w:tc>
      </w:tr>
      <w:tr w:rsidR="00330634" w14:paraId="570F70B9" w14:textId="77777777">
        <w:trPr>
          <w:cantSplit/>
        </w:trPr>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Finance, Accounting &amp; Tax</w:t>
            </w:r>
          </w:p>
        </w:tc>
      </w:tr>
      <w:tr w:rsidR="00330634" w14:paraId="097CCC87" w14:textId="77777777">
        <w:trPr>
          <w:cantSplit/>
        </w:trPr>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rPr>
          <w:cantSplit/>
        </w:trPr>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rPr>
          <w:cantSplit/>
        </w:trPr>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rPr>
          <w:cantSplit/>
        </w:trPr>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INTERNAL</w:t>
            </w:r>
          </w:p>
        </w:tc>
      </w:tr>
      <w:tr w:rsidR="00330634" w14:paraId="6159934F" w14:textId="77777777">
        <w:trPr>
          <w:cantSplit/>
        </w:trPr>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Finance Lead</w:t>
            </w:r>
          </w:p>
        </w:tc>
      </w:tr>
      <w:tr w:rsidR="00330634" w14:paraId="14EE27E6" w14:textId="77777777">
        <w:trPr>
          <w:cantSplit/>
        </w:trPr>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rPr>
          <w:cantSplit/>
        </w:trPr>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keepNext/>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rPr>
          <w:cantSplit/>
          <w:tblHeader/>
        </w:trPr>
        <w:tc>
          <w:tcPr>
            <w:tcW w:w="3009" w:type="dxa"/>
            <w:tcMar>
              <w:top w:w="100" w:type="dxa"/>
              <w:left w:w="100" w:type="dxa"/>
              <w:bottom w:w="100" w:type="dxa"/>
              <w:right w:w="100" w:type="dxa"/>
            </w:tcMar>
          </w:tcPr>
          <w:p w14:paraId="759BB39B" w14:textId="77777777" w:rsidR="00330634" w:rsidRDefault="00000000">
            <w:pPr>
              <w:keepNext/>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keepNext/>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keepNext/>
              <w:widowControl w:val="0"/>
              <w:spacing w:line="240" w:lineRule="auto"/>
              <w:jc w:val="center"/>
              <w:rPr>
                <w:b/>
                <w:bCs/>
                <w:sz w:val="24"/>
                <w:szCs w:val="24"/>
              </w:rPr>
            </w:pPr>
            <w:r>
              <w:rPr>
                <w:b/>
                <w:bCs/>
                <w:sz w:val="24"/>
                <w:szCs w:val="24"/>
              </w:rPr>
              <w:t xml:space="preserve">Description of Changes </w:t>
            </w:r>
          </w:p>
        </w:tc>
      </w:tr>
      <w:tr w:rsidR="00330634" w14:paraId="77ED44B9" w14:textId="77777777">
        <w:trPr>
          <w:cantSplit/>
        </w:trPr>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rPr>
          <w:cantSplit/>
        </w:trPr>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rPr>
          <w:cantSplit/>
        </w:trPr>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keepNext/>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rPr>
          <w:cantSplit/>
          <w:tblHeader/>
        </w:trPr>
        <w:tc>
          <w:tcPr>
            <w:tcW w:w="810" w:type="dxa"/>
            <w:tcMar>
              <w:top w:w="100" w:type="dxa"/>
              <w:left w:w="100" w:type="dxa"/>
              <w:bottom w:w="100" w:type="dxa"/>
              <w:right w:w="100" w:type="dxa"/>
            </w:tcMar>
          </w:tcPr>
          <w:p w14:paraId="323AF889"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keepNext/>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rPr>
          <w:cantSplit/>
        </w:trPr>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Finance Staff</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rPr>
          <w:cantSplit/>
        </w:trPr>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Amirull Yusuf Zulkarnain / Direktur</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rPr>
          <w:cantSplit/>
        </w:trPr>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Standard Operating Procedure</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Purpose</w:t>
            <w:br/>
            <w:t xml:space="preserve">2. Scope</w:t>
            <w:br/>
            <w:t xml:space="preserve">3. Definition &amp; Abbreviations</w:t>
            <w:br/>
            <w:t xml:space="preserve">4. Policy &amp; General Principles</w:t>
            <w:br/>
            <w:t xml:space="preserve">5. Roles, Responsibilities &amp; Authorities</w:t>
            <w:br/>
            <w:t xml:space="preserve">6. Standard Operating Procedure</w:t>
            <w:br/>
            <w:t xml:space="preserve">6.1 Pengumpulan Data dan Permohonan Penagihan</w:t>
            <w:br/>
            <w:t xml:space="preserve">6.2 Penerbitan e-Faktur Pajak dan Draf Invoice</w:t>
            <w:br/>
            <w:t xml:space="preserve">6.3 Pemeriksaan dan Persetujuan</w:t>
            <w:br/>
            <w:t xml:space="preserve">6.4 Pengiriman Invoice ke Klien</w:t>
            <w:br/>
            <w:t xml:space="preserve">6.5 Pencatatan dan Pemantauan Piutang</w:t>
          </w:r>
          <w:proofErr w:type="spellStart"/>
          <w:proofErr w:type="spellEnd"/>
          <w:proofErr w:type="spellStart"/>
          <w:proofErr w:type="spellEnd"/>
          <w:proofErr w:type="spellStart"/>
          <w:proofErr w:type="spellEnd"/>
          <w:proofErr w:type="gramStart"/>
          <w:proofErr w:type="gramEnd"/>
        </w:p>
        <w:p w14:paraId="2CE31AF8" w14:textId="0EB3F16C" w:rsidR="00330634" w:rsidRDefault="00000000">
          <w:pPr>
            <w:widowControl w:val="0"/>
            <w:pBdr>
              <w:top w:val="nil"/>
              <w:left w:val="nil"/>
              <w:bottom w:val="nil"/>
              <w:right w:val="nil"/>
              <w:between w:val="nil"/>
            </w:pBdr>
            <w:rPr>
              <w:sz w:val="24"/>
              <w:szCs w:val="24"/>
            </w:rPr>
          </w:pPr>
          <w:r>
            <w:rPr>
              <w:b/>
              <w:bCs/>
              <w:sz w:val="24"/>
              <w:szCs w:val="24"/>
            </w:rPr>
            <w:t xml:space="preserve">7. Process Flow</w:t>
            <w:br/>
            <w:t xml:space="preserve">8. Service Level Agreement (SLA)</w:t>
            <w:br/>
            <w:t xml:space="preserve">9. Exception Management</w:t>
            <w:br/>
            <w:t xml:space="preserve">10. Conclusion</w:t>
            <w:br/>
            <w:t xml:space="preserve">11. Related Documents &amp; Attachments</w:t>
          </w:r>
          <w:proofErr w:type="spellStart"/>
          <w:proofErr w:type="spell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0D8BDD2C" w14:textId="77777777" w:rsidR="00330634" w:rsidRDefault="00330634">
      <w:pPr>
        <w:pStyle w:val="Heading1"/>
        <w:ind w:firstLine="720"/>
      </w:pPr>
      <w:bookmarkStart w:id="3" w:name="_46kfagampiwx" w:colFirst="0" w:colLast="0"/>
      <w:bookmarkEnd w:id="3"/>
    </w:p>
    <w:p w14:paraId="49B09B34" w14:textId="77777777" w:rsidR="00330634" w:rsidRDefault="00000000">
      <w:pPr>
        <w:pStyle w:val="Heading1"/>
        <w:numPr>
          <w:ilvl w:val="0"/>
          <w:numId w:val="7"/>
        </w:numPr>
        <w:spacing w:after="0"/>
      </w:pPr>
      <w:bookmarkStart w:id="4" w:name="_yhj7wsc6hzzf" w:colFirst="0" w:colLast="0"/>
      <w:bookmarkEnd w:id="4"/>
      <w:r>
        <w:t>PURPOSE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mengatur penerbitan invoice kepada klien PT Strategi Integrasi Nusantara (SINUX), mulai dari permohonan penagihan sampai pemantauan pelunasan.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yang dijaga: nominal invoice sesuai PKS, PO, dan BAST yang sah; e-Faktur Pajak dan pencatatan PPh Pasal 23 sesuai ketentuan perpajakan; piutang usaha tercatat di Register Penagihan dan Penjualan; dan audit trail pemeriksaan tersimpan di arsip digital FAT.</w:t>
      </w:r>
    </w:p>
    <w:p w14:paraId="150393D4" w14:textId="77777777" w:rsidR="00330634" w:rsidRDefault="00000000">
      <w:pPr>
        <w:pStyle w:val="Heading1"/>
        <w:numPr>
          <w:ilvl w:val="0"/>
          <w:numId w:val="7"/>
        </w:numPr>
        <w:jc w:val="both"/>
      </w:pPr>
      <w:bookmarkStart w:id="5" w:name="_18t0v46evlmg" w:colFirst="0" w:colLast="0"/>
      <w:bookmarkEnd w:id="5"/>
      <w:r>
        <w:t>SCOPE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berlaku untuk semua penagihan atas penjualan jasa dan pekerjaan proyek SINUX. Cakupannya meliputi proyek pengembangan sistem dan layanan IT (IT Service Development), serta layanan konsultasi dan pekerjaan berbasis retainer atau kontrak periodik.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Proses yang tercakup: pengumpulan data klien dan permohonan penagihan; penerbitan e-Faktur Pajak dan draf invoice; pemeriksaan dan persetujuan; pengiriman invoice ke klien; serta pencatatan dan pemantauan piutang usaha.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Sistem yang dipakai: Google Form Data Subskripsi Klien, Master Sales Sheet, Google Sheets, CoreTax DJP, KlikBCA Bisnis, dan Google Drive Departemen FAT.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 luar scope SOP ini: invoice dari vendor yang diterima SINUX beserta pembayarannya; pelaporan dan penyetoran pajak (SNX-FAT-SOP-05); serta tindak lanjut invoice yang melewati jatuh tempo (SOP Account Receivable &amp; Collection, sedang dalam review).</w:t>
      </w:r>
    </w:p>
    <w:p w14:paraId="1A2D696C" w14:textId="77777777" w:rsidR="00330634" w:rsidRDefault="00000000">
      <w:pPr>
        <w:pStyle w:val="Heading1"/>
        <w:keepNext/>
        <w:numPr>
          <w:ilvl w:val="0"/>
          <w:numId w:val="7"/>
        </w:numPr>
      </w:pPr>
      <w:bookmarkStart w:id="6" w:name="_av18rrsbmo83" w:colFirst="0" w:colLast="0"/>
      <w:bookmarkEnd w:id="6"/>
      <w:r>
        <w:t>DEFINITION &amp; ABBREVIATIONS</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cantSplit/>
          <w:tblHeader/>
          <w:jc w:val="center"/>
        </w:trPr>
        <w:tc>
          <w:tcPr>
            <w:tcW w:w="2268" w:type="dxa"/>
            <w:vAlign w:val="center"/>
          </w:tcPr>
          <w:p w14:paraId="5B3215B8" w14:textId="77777777" w:rsidR="00330634" w:rsidRDefault="00000000">
            <w:pPr>
              <w:keepNext/>
              <w:jc w:val="center"/>
              <w:rPr>
                <w:sz w:val="24"/>
                <w:szCs w:val="24"/>
              </w:rPr>
            </w:pPr>
            <w:r>
              <w:rPr>
                <w:b/>
                <w:bCs/>
                <w:sz w:val="24"/>
                <w:szCs w:val="24"/>
              </w:rPr>
              <w:t>Term</w:t>
            </w:r>
          </w:p>
        </w:tc>
        <w:tc>
          <w:tcPr>
            <w:tcW w:w="6803" w:type="dxa"/>
            <w:vAlign w:val="center"/>
          </w:tcPr>
          <w:p w14:paraId="2B782A9B" w14:textId="77777777" w:rsidR="00330634" w:rsidRDefault="00000000">
            <w:pPr>
              <w:keepNext/>
              <w:jc w:val="center"/>
              <w:rPr>
                <w:sz w:val="24"/>
                <w:szCs w:val="24"/>
              </w:rPr>
            </w:pPr>
            <w:r>
              <w:rPr>
                <w:b/>
                <w:bCs/>
                <w:sz w:val="24"/>
                <w:szCs w:val="24"/>
              </w:rPr>
              <w:t>Definition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(USULAN)</w:t>
            </w:r>
          </w:p>
        </w:tc>
        <w:tc>
          <w:tcPr>
            <w:tcW w:w="6803" w:type="dxa"/>
            <w:vAlign w:val="center"/>
          </w:tcPr>
          <w:p w14:paraId="6E842649" w14:textId="12DD9EBE" w:rsidR="00330634" w:rsidRDefault="00330634">
            <w:pPr>
              <w:rPr>
                <w:sz w:val="24"/>
                <w:szCs w:val="24"/>
              </w:rPr>
            </w:pPr>
            <w:r>
              <w:rPr>
                <w:b w:val="0"/>
                <w:sz w:val="24"/>
                <w:szCs w:val="24"/>
              </w:rPr>
              <w:t>Label untuk isi yang belum diputuskan secara tertulis oleh pimpinan SINUX.</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2FA</w:t>
            </w:r>
          </w:p>
        </w:tc>
        <w:tc>
          <w:tcPr>
            <w:tcW w:w="6803" w:type="dxa"/>
            <w:vAlign w:val="center"/>
          </w:tcPr>
          <w:p w14:paraId="6E842649" w14:textId="12DD9EBE" w:rsidR="00330634" w:rsidRDefault="00330634">
            <w:pPr>
              <w:rPr>
                <w:sz w:val="24"/>
                <w:szCs w:val="24"/>
              </w:rPr>
            </w:pPr>
            <w:r>
              <w:rPr>
                <w:b w:val="0"/>
                <w:sz w:val="24"/>
                <w:szCs w:val="24"/>
              </w:rPr>
              <w:t>Login ke akun dengan dua bukti identitas yang berbeda (autentikasi dua faktor).</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3-way matching</w:t>
            </w:r>
          </w:p>
        </w:tc>
        <w:tc>
          <w:tcPr>
            <w:tcW w:w="6803" w:type="dxa"/>
            <w:vAlign w:val="center"/>
          </w:tcPr>
          <w:p w14:paraId="6E842649" w14:textId="12DD9EBE" w:rsidR="00330634" w:rsidRDefault="00330634">
            <w:pPr>
              <w:rPr>
                <w:sz w:val="24"/>
                <w:szCs w:val="24"/>
              </w:rPr>
            </w:pPr>
            <w:r>
              <w:rPr>
                <w:b w:val="0"/>
                <w:sz w:val="24"/>
                <w:szCs w:val="24"/>
              </w:rPr>
              <w:t>Pencocokan tiga arah antara nominal PKS, acuan PO, dan BAST.</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BAST</w:t>
            </w:r>
          </w:p>
        </w:tc>
        <w:tc>
          <w:tcPr>
            <w:tcW w:w="6803" w:type="dxa"/>
            <w:vAlign w:val="center"/>
          </w:tcPr>
          <w:p w14:paraId="6E842649" w14:textId="12DD9EBE" w:rsidR="00330634" w:rsidRDefault="00330634">
            <w:pPr>
              <w:rPr>
                <w:sz w:val="24"/>
                <w:szCs w:val="24"/>
              </w:rPr>
            </w:pPr>
            <w:r>
              <w:rPr>
                <w:b w:val="0"/>
                <w:sz w:val="24"/>
                <w:szCs w:val="24"/>
              </w:rPr>
              <w:t>Berita Acara Serah Terima, yaitu bukti tertulis bahwa deliverable, laporan milestone, atau jasa yang disepakati sudah selesai, diterima, dan disetujui klien.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Berita Acara Pemusnahan Dokumen</w:t>
            </w:r>
          </w:p>
        </w:tc>
        <w:tc>
          <w:tcPr>
            <w:tcW w:w="6803" w:type="dxa"/>
            <w:vAlign w:val="center"/>
          </w:tcPr>
          <w:p w14:paraId="6E842649" w14:textId="12DD9EBE" w:rsidR="00330634" w:rsidRDefault="00330634">
            <w:pPr>
              <w:rPr>
                <w:sz w:val="24"/>
                <w:szCs w:val="24"/>
              </w:rPr>
            </w:pPr>
            <w:r>
              <w:rPr>
                <w:b w:val="0"/>
                <w:sz w:val="24"/>
                <w:szCs w:val="24"/>
              </w:rPr>
              <w:t>Dokumen yang mencatat pemusnahan arsip setelah masa simpan berakhir.</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Bukti Potong (Bupot)</w:t>
            </w:r>
          </w:p>
        </w:tc>
        <w:tc>
          <w:tcPr>
            <w:tcW w:w="6803" w:type="dxa"/>
            <w:vAlign w:val="center"/>
          </w:tcPr>
          <w:p w14:paraId="6E842649" w14:textId="12DD9EBE" w:rsidR="00330634" w:rsidRDefault="00330634">
            <w:pPr>
              <w:rPr>
                <w:sz w:val="24"/>
                <w:szCs w:val="24"/>
              </w:rPr>
            </w:pPr>
            <w:r>
              <w:rPr>
                <w:b w:val="0"/>
                <w:sz w:val="24"/>
                <w:szCs w:val="24"/>
              </w:rPr>
              <w:t>Bukti pemotongan PPh Pasal 23 yang diserahkan klien kepada SINUX.</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CoreTax DJP</w:t>
            </w:r>
          </w:p>
        </w:tc>
        <w:tc>
          <w:tcPr>
            <w:tcW w:w="6803" w:type="dxa"/>
            <w:vAlign w:val="center"/>
          </w:tcPr>
          <w:p w14:paraId="6E842649" w14:textId="12DD9EBE" w:rsidR="00330634" w:rsidRDefault="00330634">
            <w:pPr>
              <w:rPr>
                <w:sz w:val="24"/>
                <w:szCs w:val="24"/>
              </w:rPr>
            </w:pPr>
            <w:r>
              <w:rPr>
                <w:b w:val="0"/>
                <w:sz w:val="24"/>
                <w:szCs w:val="24"/>
              </w:rPr>
              <w:t>Portal perpajakan terintegrasi milik Direktorat Jenderal Pajak, tempat e-Faktur Pajak diterbitkan.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Data master klien</w:t>
            </w:r>
          </w:p>
        </w:tc>
        <w:tc>
          <w:tcPr>
            <w:tcW w:w="6803" w:type="dxa"/>
            <w:vAlign w:val="center"/>
          </w:tcPr>
          <w:p w14:paraId="6E842649" w14:textId="12DD9EBE" w:rsidR="00330634" w:rsidRDefault="00330634">
            <w:pPr>
              <w:rPr>
                <w:sz w:val="24"/>
                <w:szCs w:val="24"/>
              </w:rPr>
            </w:pPr>
            <w:r>
              <w:rPr>
                <w:b w:val="0"/>
                <w:sz w:val="24"/>
                <w:szCs w:val="24"/>
              </w:rPr>
              <w:t>Lima data klien untuk penagihan: nama lengkap badan usaha sesuai NPWP atau NIB, NPWP, alamat operasional dan alamat surat-menyurat resmi, kontak PIC Finance/AP klien, dan kontak PIC Proyek klien.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Dokumen pendukung</w:t>
            </w:r>
          </w:p>
        </w:tc>
        <w:tc>
          <w:tcPr>
            <w:tcW w:w="6803" w:type="dxa"/>
            <w:vAlign w:val="center"/>
          </w:tcPr>
          <w:p w14:paraId="6E842649" w14:textId="12DD9EBE" w:rsidR="00330634" w:rsidRDefault="00330634">
            <w:pPr>
              <w:rPr>
                <w:sz w:val="24"/>
                <w:szCs w:val="24"/>
              </w:rPr>
            </w:pPr>
            <w:r>
              <w:rPr>
                <w:b w:val="0"/>
                <w:sz w:val="24"/>
                <w:szCs w:val="24"/>
              </w:rPr>
              <w:t>Empat dokumen yang wajib lengkap sebelum invoice diproses: PKS, PO/SPK, BAST, dan NPWP klien.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DPP</w:t>
            </w:r>
          </w:p>
        </w:tc>
        <w:tc>
          <w:tcPr>
            <w:tcW w:w="6803" w:type="dxa"/>
            <w:vAlign w:val="center"/>
          </w:tcPr>
          <w:p w14:paraId="6E842649" w14:textId="12DD9EBE" w:rsidR="00330634" w:rsidRDefault="00330634">
            <w:pPr>
              <w:rPr>
                <w:sz w:val="24"/>
                <w:szCs w:val="24"/>
              </w:rPr>
            </w:pPr>
            <w:r>
              <w:rPr>
                <w:b w:val="0"/>
                <w:sz w:val="24"/>
                <w:szCs w:val="24"/>
              </w:rPr>
              <w:t>Dasar Pengenaan Pajak: nilai yang menjadi dasar perhitungan pajak.</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e-Faktur Pajak</w:t>
            </w:r>
          </w:p>
        </w:tc>
        <w:tc>
          <w:tcPr>
            <w:tcW w:w="6803" w:type="dxa"/>
            <w:vAlign w:val="center"/>
          </w:tcPr>
          <w:p w14:paraId="6E842649" w14:textId="12DD9EBE" w:rsidR="00330634" w:rsidRDefault="00330634">
            <w:pPr>
              <w:rPr>
                <w:sz w:val="24"/>
                <w:szCs w:val="24"/>
              </w:rPr>
            </w:pPr>
            <w:r>
              <w:rPr>
                <w:b w:val="0"/>
                <w:sz w:val="24"/>
                <w:szCs w:val="24"/>
              </w:rPr>
              <w:t>Faktur Pajak Keluaran elektronik yang diterbitkan SINUX melalui CoreTax DJP sebagai bukti pemungutan PPN.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Faktur Pajak Pengganti</w:t>
            </w:r>
          </w:p>
        </w:tc>
        <w:tc>
          <w:tcPr>
            <w:tcW w:w="6803" w:type="dxa"/>
            <w:vAlign w:val="center"/>
          </w:tcPr>
          <w:p w14:paraId="6E842649" w14:textId="12DD9EBE" w:rsidR="00330634" w:rsidRDefault="00330634">
            <w:pPr>
              <w:rPr>
                <w:sz w:val="24"/>
                <w:szCs w:val="24"/>
              </w:rPr>
            </w:pPr>
            <w:r>
              <w:rPr>
                <w:b w:val="0"/>
                <w:sz w:val="24"/>
                <w:szCs w:val="24"/>
              </w:rPr>
              <w:t>Faktur Pajak yang menggantikan e-Faktur Pajak sebelumnya karena kesalahan data atau penolakan invoice.</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Finance Lead</w:t>
            </w:r>
          </w:p>
        </w:tc>
        <w:tc>
          <w:tcPr>
            <w:tcW w:w="6803" w:type="dxa"/>
            <w:vAlign w:val="center"/>
          </w:tcPr>
          <w:p w14:paraId="6E842649" w14:textId="12DD9EBE" w:rsidR="00330634" w:rsidRDefault="00330634">
            <w:pPr>
              <w:rPr>
                <w:sz w:val="24"/>
                <w:szCs w:val="24"/>
              </w:rPr>
            </w:pPr>
            <w:r>
              <w:rPr>
                <w:b w:val="0"/>
                <w:sz w:val="24"/>
                <w:szCs w:val="24"/>
              </w:rPr>
              <w:t>Peran pemeriksa dan penyetuju di FAT; selama jabatannya belum terisi, peran ini dijalankan Direktur (USULAN).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Finance Staff</w:t>
            </w:r>
          </w:p>
        </w:tc>
        <w:tc>
          <w:tcPr>
            <w:tcW w:w="6803" w:type="dxa"/>
            <w:vAlign w:val="center"/>
          </w:tcPr>
          <w:p w14:paraId="6E842649" w14:textId="12DD9EBE" w:rsidR="00330634" w:rsidRDefault="00330634">
            <w:pPr>
              <w:rPr>
                <w:sz w:val="24"/>
                <w:szCs w:val="24"/>
              </w:rPr>
            </w:pPr>
            <w:r>
              <w:rPr>
                <w:b w:val="0"/>
                <w:sz w:val="24"/>
                <w:szCs w:val="24"/>
              </w:rPr>
              <w:t>Peran pelaksana yang dijalankan pemegang jabatan Finance (JA-10) dan Accounting &amp; Tax (JA-11) (USULAN).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Google Form Data Subskripsi Klien</w:t>
            </w:r>
          </w:p>
        </w:tc>
        <w:tc>
          <w:tcPr>
            <w:tcW w:w="6803" w:type="dxa"/>
            <w:vAlign w:val="center"/>
          </w:tcPr>
          <w:p w14:paraId="6E842649" w14:textId="12DD9EBE" w:rsidR="00330634" w:rsidRDefault="00330634">
            <w:pPr>
              <w:rPr>
                <w:sz w:val="24"/>
                <w:szCs w:val="24"/>
              </w:rPr>
            </w:pPr>
            <w:r>
              <w:rPr>
                <w:b w:val="0"/>
                <w:sz w:val="24"/>
                <w:szCs w:val="24"/>
              </w:rPr>
              <w:t>Form yang diisi klien untuk menyerahkan data master klien.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Invoice</w:t>
            </w:r>
          </w:p>
        </w:tc>
        <w:tc>
          <w:tcPr>
            <w:tcW w:w="6803" w:type="dxa"/>
            <w:vAlign w:val="center"/>
          </w:tcPr>
          <w:p w14:paraId="6E842649" w14:textId="12DD9EBE" w:rsidR="00330634" w:rsidRDefault="00330634">
            <w:pPr>
              <w:rPr>
                <w:sz w:val="24"/>
                <w:szCs w:val="24"/>
              </w:rPr>
            </w:pPr>
            <w:r>
              <w:rPr>
                <w:b w:val="0"/>
                <w:sz w:val="24"/>
                <w:szCs w:val="24"/>
              </w:rPr>
              <w:t>Dokumen resmi yang diterbitkan SINUX kepada klien sebagai permintaan pembayaran atas jasa yang diserahkan atau pekerjaan proyek yang selesai.</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KlikBCA Bisnis</w:t>
            </w:r>
          </w:p>
        </w:tc>
        <w:tc>
          <w:tcPr>
            <w:tcW w:w="6803" w:type="dxa"/>
            <w:vAlign w:val="center"/>
          </w:tcPr>
          <w:p w14:paraId="6E842649" w14:textId="12DD9EBE" w:rsidR="00330634" w:rsidRDefault="00330634">
            <w:pPr>
              <w:rPr>
                <w:sz w:val="24"/>
                <w:szCs w:val="24"/>
              </w:rPr>
            </w:pPr>
            <w:r>
              <w:rPr>
                <w:b w:val="0"/>
                <w:sz w:val="24"/>
                <w:szCs w:val="24"/>
              </w:rPr>
              <w:t>Internet banking perusahaan untuk memverifikasi pembayaran masuk (cash-in) dari klien.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Klien</w:t>
            </w:r>
          </w:p>
        </w:tc>
        <w:tc>
          <w:tcPr>
            <w:tcW w:w="6803" w:type="dxa"/>
            <w:vAlign w:val="center"/>
          </w:tcPr>
          <w:p w14:paraId="6E842649" w14:textId="12DD9EBE" w:rsidR="00330634" w:rsidRDefault="00330634">
            <w:pPr>
              <w:rPr>
                <w:sz w:val="24"/>
                <w:szCs w:val="24"/>
              </w:rPr>
            </w:pPr>
            <w:r>
              <w:rPr>
                <w:b w:val="0"/>
                <w:sz w:val="24"/>
                <w:szCs w:val="24"/>
              </w:rPr>
              <w:t>Badan usaha yang memesan jasa SINUX melalui PKS atau PO dan menerima invoice dari SINUX (customer).</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Log ketidaksesuaian</w:t>
            </w:r>
          </w:p>
        </w:tc>
        <w:tc>
          <w:tcPr>
            <w:tcW w:w="6803" w:type="dxa"/>
            <w:vAlign w:val="center"/>
          </w:tcPr>
          <w:p w14:paraId="6E842649" w14:textId="12DD9EBE" w:rsidR="00330634" w:rsidRDefault="00330634">
            <w:pPr>
              <w:rPr>
                <w:sz w:val="24"/>
                <w:szCs w:val="24"/>
              </w:rPr>
            </w:pPr>
            <w:r>
              <w:rPr>
                <w:b w:val="0"/>
                <w:sz w:val="24"/>
                <w:szCs w:val="24"/>
              </w:rPr>
              <w:t>Catatan riwayat pembatalan dan revisi invoice.</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Master Sales Sheet</w:t>
            </w:r>
          </w:p>
        </w:tc>
        <w:tc>
          <w:tcPr>
            <w:tcW w:w="6803" w:type="dxa"/>
            <w:vAlign w:val="center"/>
          </w:tcPr>
          <w:p w14:paraId="6E842649" w14:textId="12DD9EBE" w:rsidR="00330634" w:rsidRDefault="00330634">
            <w:pPr>
              <w:rPr>
                <w:sz w:val="24"/>
                <w:szCs w:val="24"/>
              </w:rPr>
            </w:pPr>
            <w:r>
              <w:rPr>
                <w:b w:val="0"/>
                <w:sz w:val="24"/>
                <w:szCs w:val="24"/>
              </w:rPr>
              <w:t>Lembar kerja berisi data master klien, status PKS, nilai PO, dan skema pembayaran, yang menjadi acuan Finance Staff dan Finance Lead.</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Overdue</w:t>
            </w:r>
          </w:p>
        </w:tc>
        <w:tc>
          <w:tcPr>
            <w:tcW w:w="6803" w:type="dxa"/>
            <w:vAlign w:val="center"/>
          </w:tcPr>
          <w:p w14:paraId="6E842649" w14:textId="12DD9EBE" w:rsidR="00330634" w:rsidRDefault="00330634">
            <w:pPr>
              <w:rPr>
                <w:sz w:val="24"/>
                <w:szCs w:val="24"/>
              </w:rPr>
            </w:pPr>
            <w:r>
              <w:rPr>
                <w:b w:val="0"/>
                <w:sz w:val="24"/>
                <w:szCs w:val="24"/>
              </w:rPr>
              <w:t>Kategori invoice yang melewati tanggal jatuh tempo.</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PIC Finance/AP klien</w:t>
            </w:r>
          </w:p>
        </w:tc>
        <w:tc>
          <w:tcPr>
            <w:tcW w:w="6803" w:type="dxa"/>
            <w:vAlign w:val="center"/>
          </w:tcPr>
          <w:p w14:paraId="6E842649" w14:textId="12DD9EBE" w:rsidR="00330634" w:rsidRDefault="00330634">
            <w:pPr>
              <w:rPr>
                <w:sz w:val="24"/>
                <w:szCs w:val="24"/>
              </w:rPr>
            </w:pPr>
            <w:r>
              <w:rPr>
                <w:b w:val="0"/>
                <w:sz w:val="24"/>
                <w:szCs w:val="24"/>
              </w:rPr>
              <w:t>Kontak klien di bagian Finance atau Accounts Payable yang menerima invoice.</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PIC Proyek klien</w:t>
            </w:r>
          </w:p>
        </w:tc>
        <w:tc>
          <w:tcPr>
            <w:tcW w:w="6803" w:type="dxa"/>
            <w:vAlign w:val="center"/>
          </w:tcPr>
          <w:p w14:paraId="6E842649" w14:textId="12DD9EBE" w:rsidR="00330634" w:rsidRDefault="00330634">
            <w:pPr>
              <w:rPr>
                <w:sz w:val="24"/>
                <w:szCs w:val="24"/>
              </w:rPr>
            </w:pPr>
            <w:r>
              <w:rPr>
                <w:b w:val="0"/>
                <w:sz w:val="24"/>
                <w:szCs w:val="24"/>
              </w:rPr>
              <w:t>Kontak operasional klien untuk proyek yang ditagih.</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Piutang usaha (AR)</w:t>
            </w:r>
          </w:p>
        </w:tc>
        <w:tc>
          <w:tcPr>
            <w:tcW w:w="6803" w:type="dxa"/>
            <w:vAlign w:val="center"/>
          </w:tcPr>
          <w:p w14:paraId="6E842649" w14:textId="12DD9EBE" w:rsidR="00330634" w:rsidRDefault="00330634">
            <w:pPr>
              <w:rPr>
                <w:sz w:val="24"/>
                <w:szCs w:val="24"/>
              </w:rPr>
            </w:pPr>
            <w:r>
              <w:rPr>
                <w:b w:val="0"/>
                <w:sz w:val="24"/>
                <w:szCs w:val="24"/>
              </w:rPr>
              <w:t>Hak tagih SINUX kepada klien atas penjualan jasa secara kredit.</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PKS</w:t>
            </w:r>
          </w:p>
        </w:tc>
        <w:tc>
          <w:tcPr>
            <w:tcW w:w="6803" w:type="dxa"/>
            <w:vAlign w:val="center"/>
          </w:tcPr>
          <w:p w14:paraId="6E842649" w14:textId="12DD9EBE" w:rsidR="00330634" w:rsidRDefault="00330634">
            <w:pPr>
              <w:rPr>
                <w:sz w:val="24"/>
                <w:szCs w:val="24"/>
              </w:rPr>
            </w:pPr>
            <w:r>
              <w:rPr>
                <w:b w:val="0"/>
                <w:sz w:val="24"/>
                <w:szCs w:val="24"/>
              </w:rPr>
              <w:t>Perjanjian Kerja Sama atau kontrak, yaitu kesepakatan tertulis antara SINUX dan klien tentang hak dan kewajiban, nilai proyek, jadwal pembayaran, dan syarat khusus.</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PO/SPK</w:t>
            </w:r>
          </w:p>
        </w:tc>
        <w:tc>
          <w:tcPr>
            <w:tcW w:w="6803" w:type="dxa"/>
            <w:vAlign w:val="center"/>
          </w:tcPr>
          <w:p w14:paraId="6E842649" w14:textId="12DD9EBE" w:rsidR="00330634" w:rsidRDefault="00330634">
            <w:pPr>
              <w:rPr>
                <w:sz w:val="24"/>
                <w:szCs w:val="24"/>
              </w:rPr>
            </w:pPr>
            <w:r>
              <w:rPr>
                <w:b w:val="0"/>
                <w:sz w:val="24"/>
                <w:szCs w:val="24"/>
              </w:rPr>
              <w:t>Purchase Order atau Surat Perintah Kerja, yaitu dokumen pemesanan resmi dari klien yang menjadi dasar SINUX memulai pekerjaan dan menerbitkan invoice.</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PPh Pasal 23</w:t>
            </w:r>
          </w:p>
        </w:tc>
        <w:tc>
          <w:tcPr>
            <w:tcW w:w="6803" w:type="dxa"/>
            <w:vAlign w:val="center"/>
          </w:tcPr>
          <w:p w14:paraId="6E842649" w14:textId="12DD9EBE" w:rsidR="00330634" w:rsidRDefault="00330634">
            <w:pPr>
              <w:rPr>
                <w:sz w:val="24"/>
                <w:szCs w:val="24"/>
              </w:rPr>
            </w:pPr>
            <w:r>
              <w:rPr>
                <w:b w:val="0"/>
                <w:sz w:val="24"/>
                <w:szCs w:val="24"/>
              </w:rPr>
              <w:t>Pajak Penghasilan yang dipotong klien dari pembayaran atas jasa SINUX.</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PPN</w:t>
            </w:r>
          </w:p>
        </w:tc>
        <w:tc>
          <w:tcPr>
            <w:tcW w:w="6803" w:type="dxa"/>
            <w:vAlign w:val="center"/>
          </w:tcPr>
          <w:p w14:paraId="6E842649" w14:textId="12DD9EBE" w:rsidR="00330634" w:rsidRDefault="00330634">
            <w:pPr>
              <w:rPr>
                <w:sz w:val="24"/>
                <w:szCs w:val="24"/>
              </w:rPr>
            </w:pPr>
            <w:r>
              <w:rPr>
                <w:b w:val="0"/>
                <w:sz w:val="24"/>
                <w:szCs w:val="24"/>
              </w:rPr>
              <w:t>Pajak Pertambahan Nilai atas penyerahan Jasa Kena Pajak (JKP) kepada klien.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Register Penagihan dan Penjualan</w:t>
            </w:r>
          </w:p>
        </w:tc>
        <w:tc>
          <w:tcPr>
            <w:tcW w:w="6803" w:type="dxa"/>
            <w:vAlign w:val="center"/>
          </w:tcPr>
          <w:p w14:paraId="6E842649" w14:textId="12DD9EBE" w:rsidR="00330634" w:rsidRDefault="00330634">
            <w:pPr>
              <w:rPr>
                <w:sz w:val="24"/>
                <w:szCs w:val="24"/>
              </w:rPr>
            </w:pPr>
            <w:r>
              <w:rPr>
                <w:b w:val="0"/>
                <w:sz w:val="24"/>
                <w:szCs w:val="24"/>
              </w:rPr>
              <w:t>Lembar Google Sheets untuk mencatat status invoice, jatuh tempo, dan rekonsiliasi piutang, dengan format yang diusulkan mengikuti SNX-FAT-REG-01 (USULAN).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Term of Payment (TOP)</w:t>
            </w:r>
          </w:p>
        </w:tc>
        <w:tc>
          <w:tcPr>
            <w:tcW w:w="6803" w:type="dxa"/>
            <w:vAlign w:val="center"/>
          </w:tcPr>
          <w:p w14:paraId="6E842649" w14:textId="12DD9EBE" w:rsidR="00330634" w:rsidRDefault="00330634">
            <w:pPr>
              <w:rPr>
                <w:sz w:val="24"/>
                <w:szCs w:val="24"/>
              </w:rPr>
            </w:pPr>
            <w:r>
              <w:rPr>
                <w:b w:val="0"/>
                <w:sz w:val="24"/>
                <w:szCs w:val="24"/>
              </w:rPr>
              <w:t>Jangka waktu pelunasan invoice sampai tanggal jatuh tempo.</w:t>
            </w:r>
          </w:p>
        </w:tc>
      </w:tr>
    </w:tbl>
    <w:p w14:paraId="5C3815ED" w14:textId="77777777" w:rsidR="00330634" w:rsidRDefault="00330634">
      <w:pPr>
        <w:rPr>
          <w:sz w:val="24"/>
          <w:szCs w:val="24"/>
        </w:rPr>
      </w:pPr>
    </w:p>
    <w:p w14:paraId="6EAE1051" w14:textId="77777777" w:rsidR="00330634" w:rsidRDefault="00330634">
      <w:pPr>
        <w:rPr>
          <w:sz w:val="24"/>
          <w:szCs w:val="24"/>
        </w:rPr>
      </w:pPr>
    </w:p>
    <w:p w14:paraId="26B4F0DC" w14:textId="77777777" w:rsidR="00330634" w:rsidRDefault="00000000">
      <w:pPr>
        <w:pStyle w:val="Heading1"/>
        <w:numPr>
          <w:ilvl w:val="0"/>
          <w:numId w:val="7"/>
        </w:numPr>
        <w:spacing w:after="0"/>
      </w:pPr>
      <w:bookmarkStart w:id="7" w:name="_zeuvzvg33l2v" w:colFirst="0" w:colLast="0"/>
      <w:bookmarkEnd w:id="7"/>
      <w:r>
        <w:t>POLICY &amp; GENERAL PRINCIPLES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 Permohonan penagihan hanya diproses jika PKS, PO/SPK, BAST, dan NPWP klien sudah lengkap dan tervalidasi.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 Permohonan penagihan baru diproses setelah klien mengisi Google Form Data Subskripsi Klien dan Business Development menyinkronkan hasilnya ke Master Sales Sheet.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 Finance Staff melakukan 3-way matching atas setiap permohonan penagihan sebelum e-Faktur Pajak diterbitkan.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4.4 Finance Staff dilarang menerbitkan atau mengirim invoice kepada klien tanpa persetujuan tertulis Finance Lead.</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4.5 Finance Staff menerbitkan e-Faktur Pajak melalui CoreTax DJP sebagai bagian dari penerbitan invoice (butir 6.2). Penyerahan Jasa Kena Pajak (JKP) dikenai PPN 12%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4.6 Klien memotong PPh Pasal 23 sebesar 2% dari DPP atas pembayaran jasa. Finance Staff mencatat estimasi pemotongannya di Register Penagihan dan Penjualan, lalu merekonsiliasinya saat Bukti Potong diterima dari klien.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4.7 Finance Staff mengirim berkas penagihan sebagai PDF terkunci (non-editable) via email resmi ke PIC Finance/AP klien dan PIC Proyek klien. Hard copy, yaitu cetakan bertanda tangan dan berstempel, dikirim melalui kurir hanya jika PKS mensyaratkannya.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4.8 TOP standar adalah 14 hari kalender sejak tanggal invoice (USULAN). TOP di atas 14 hari harus disetujui tertulis oleh Direktur Utama sebelum PKS atau PO disepakati. Finance Lead tidak boleh mengubah atau memperpanjang jatuh tempo melebihi TOP standar tanpa persetujuan Direktur Utama. Invoice yang melewati jatuh tempo masuk kategori Overdue.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4.9 Setiap perubahan nominal, revisi tanggal, atau pembatalan invoice yang sudah disetujui dicatat Finance Staff beserta alasan dan bukti persetujuannya di arsip digital FAT (butir 4.12).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4.10 Dokumen keuangan, daftar harga (rate card), data invoice klien, dan informasi rekening bank berklasifikasi RESTRICTED (Internal) menurut SNX-ISMS-PRO-01 (USULAN). Akses ke folder Google Drive Departemen FAT dan Register Penagihan dan Penjualan hanya untuk personel FAT dan Direktur Utama.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4.11 Finance Staff memakai 2FA pada akun CoreTax DJP dan KlikBCA Bisnis, dan tidak membagikan akun itu kepada pihak yang tidak berkepentingan.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4.12 Finance Staff menyimpan invoice, e-Faktur Pajak, PKS, PO, dan BAST sebagai PDF di folder Google Drive Departemen FAT, dengan struktur folder Tahun / Nama Klien / Nomor Invoice. Masa simpannya minimal 10 tahun.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4.13 Finance Staff memperbarui status invoice di Register Penagihan dan Penjualan setiap kali status berubah. Pilihan statusnya Draf, Terkirim, Lunas, atau Cancel.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4.14 Finance Staff mencatat riwayat pembatalan dan revisi invoice di log ketidaksesuaian. Finance Lead mengevaluasi log itu setiap bulan sebagai bahan kendali mutu.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4.15 Pembagian tugas pada butir 4.3, 4.9, 4.11, 4.12, 4.14, dan 4.16, pemantauan Overdue di bagian 9, serta Finance Lead sebagai pemilik record di bagian 11 masih menunggu keputusan FAT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4.16 Finance Staff mencatat pemusnahan arsip yang masa simpannya sudah berakhir dalam Berita Acara Pemusnahan Dokumen. Pemusnahan itu disetujui Finance Lead dan Direktur Utama.</w:t>
      </w:r>
    </w:p>
    <w:p w14:paraId="1EE36325" w14:textId="77777777" w:rsidR="00330634" w:rsidRDefault="00000000">
      <w:pPr>
        <w:pStyle w:val="Heading1"/>
        <w:keepNext/>
        <w:numPr>
          <w:ilvl w:val="0"/>
          <w:numId w:val="7"/>
        </w:numPr>
      </w:pPr>
      <w:bookmarkStart w:id="8" w:name="_z4kuv343gw1q" w:colFirst="0" w:colLast="0"/>
      <w:bookmarkEnd w:id="8"/>
      <w:r>
        <w:t>ROLES, RESPONSIBILITIES &amp; AUTHORITIES</w:t>
      </w:r>
    </w:p>
    <w:tbl>
      <w:tblPr>
        <w:tblStyle w:val="a3"/>
        <w:tblW w:w="9555" w:type="dxa"/>
        <w:jc w:val="center"/>
        <w:tblInd w:w="0" w:type="dxa"/>
        <w:tblLayout w:type="fixed"/>
        <w:tblLook w:val="0400" w:firstRow="0" w:lastRow="0" w:firstColumn="0" w:lastColumn="0" w:noHBand="0" w:noVBand="1"/>
      </w:tblPr>
      <w:tblGrid>
        <w:gridCol w:w="3135"/>
        <w:gridCol w:w="3750"/>
        <w:gridCol w:w="2670"/>
      </w:tblGrid>
      <w:tr w:rsidR="00330634" w14:paraId="62A19DF6" w14:textId="77777777">
        <w:trPr>
          <w:cantSplit/>
          <w:tblHeade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F3AA4" w14:textId="77777777" w:rsidR="00330634" w:rsidRDefault="00000000">
            <w:pPr>
              <w:keepNext/>
              <w:jc w:val="center"/>
              <w:rPr>
                <w:sz w:val="24"/>
                <w:szCs w:val="24"/>
              </w:rPr>
            </w:pPr>
            <w:r>
              <w:rPr>
                <w:b/>
                <w:bCs/>
                <w:sz w:val="24"/>
                <w:szCs w:val="24"/>
              </w:rPr>
              <w:t>Role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961E6" w14:textId="77777777" w:rsidR="00330634" w:rsidRDefault="00000000">
            <w:pPr>
              <w:keepNext/>
              <w:jc w:val="center"/>
              <w:rPr>
                <w:sz w:val="24"/>
                <w:szCs w:val="24"/>
              </w:rPr>
            </w:pPr>
            <w:r>
              <w:rPr>
                <w:b/>
                <w:bCs/>
                <w:sz w:val="24"/>
                <w:szCs w:val="24"/>
              </w:rPr>
              <w:t>Responsibilities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0D7080" w14:textId="77777777" w:rsidR="00330634" w:rsidRDefault="00000000">
            <w:pPr>
              <w:keepNext/>
              <w:jc w:val="center"/>
              <w:rPr>
                <w:sz w:val="24"/>
                <w:szCs w:val="24"/>
              </w:rPr>
            </w:pPr>
            <w:r>
              <w:rPr>
                <w:b/>
                <w:bCs/>
                <w:sz w:val="24"/>
                <w:szCs w:val="24"/>
              </w:rPr>
              <w:t>Authority</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Business Development</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Mengirim link Google Form Data Subskripsi Klien ke klien baru saat PKS ditandatangani, memastikan klien melengkapi data master klien, dan memperbarui Master Sales Sheet secara rutin. Peran ini menjalankan tugas Tim Sales di SOP tim FAT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Tidak ada wewenang persetujuan di SOP ini.</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Project Manager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Mengajukan permohonan penagihan ke Finance Staff setelah milestone atau pekerjaan selesai, memastikan dokumen pendukung tersedia, dan mengonfirmasi bahwa data master klien sudah lengkap.</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Mengajukan permohonan penagihan; tidak menyetujui invoice.</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Finance Staff</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Memeriksa kelengkapan permohonan penagihan, melakukan 3-way matching, menerbitkan e-Faktur Pajak, dan menyusun draf invoice. Mengirim invoice ke klien, mencatat transaksi di Register Penagihan dan Penjualan, memantau kas masuk, serta menangani revisi atau pembatalan invoice setelah disetujui Finance Lead.</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Menerbitkan e-Faktur Pajak dan mengirim invoice, hanya setelah ada persetujuan tertulis Finance Lead.</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Finance Lead</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Pemilik SOP ini. Memeriksa draf invoice, e-Faktur Pajak, dan dokumen pendukung terhadap Master Sales Sheet dan Google Form Data Subskripsi Klien, termasuk kelengkapan atribut invoice, perhitungan PPN, dan catatan PPh Pasal 23. Meneruskan draf ke Direktur Utama jika TOP di atas standar, lalu memberi persetujuan tertulis sebelum invoice dikirim.</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Menyetujui draf invoice sebelum dikirim, serta revisi dan pembatalan invoice. Tidak boleh mengubah atau memperpanjang jatuh tempo melebihi TOP standar tanpa persetujuan Direktur Utama.</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Direktur Utama</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Memberi persetujuan tertulis atas TOP di atas TOP standar dan, bersama Finance Lead, atas pemusnahan arsip.</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Menyetujui TOP di atas TOP standar dan pemusnahan arsip.</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Klien</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Mengisi Google Form Data Subskripsi Klien, menerima invoice dan berkas penagihan, membayar, memotong PPh Pasal 23, dan menyerahkan Bukti Potong. Klien adalah pihak luar SINUX.</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Menolak invoice; penolakan ditangani sesuai bagian 9.</w:t>
            </w:r>
          </w:p>
        </w:tc>
      </w:tr>
    </w:tbl>
    <w:p w14:paraId="71474D5E" w14:textId="77777777" w:rsidR="00330634" w:rsidRDefault="00330634">
      <w:pPr>
        <w:rPr>
          <w:sz w:val="24"/>
          <w:szCs w:val="24"/>
        </w:rPr>
      </w:pPr>
    </w:p>
    <w:p w14:paraId="576FF9EC" w14:textId="77777777" w:rsidR="00330634" w:rsidRDefault="00330634">
      <w:pPr>
        <w:rPr>
          <w:sz w:val="24"/>
          <w:szCs w:val="24"/>
        </w:rPr>
      </w:pPr>
    </w:p>
    <w:p w14:paraId="7DD3A66D" w14:textId="77777777" w:rsidR="00330634" w:rsidRDefault="00000000">
      <w:pPr>
        <w:pStyle w:val="Heading1"/>
        <w:numPr>
          <w:ilvl w:val="0"/>
          <w:numId w:val="7"/>
        </w:numPr>
        <w:spacing w:after="0"/>
      </w:pPr>
      <w:bookmarkStart w:id="9" w:name="_901keg1um0ay" w:colFirst="0" w:colLast="0"/>
      <w:bookmarkEnd w:id="9"/>
      <w:r>
        <w:t>STANDARD OPERATING PROCEDURE</w:t>
      </w:r>
    </w:p>
    <w:p w14:paraId="529DFADF" w14:textId="02DADB71" w:rsidR="00330634" w:rsidRDefault="00AA0D9D" w:rsidP="00AA0D9D">
      <w:pPr>
        <w:pStyle w:val="Heading2"/>
        <w:keepNext/>
        <w:numPr>
          <w:ilvl w:val="1"/>
          <w:numId w:val="7"/>
        </w:numPr>
      </w:pPr>
      <w:bookmarkStart w:id="10" w:name="_nlknbxi8j6cc" w:colFirst="0" w:colLast="0"/>
      <w:bookmarkEnd w:id="10"/>
      <w:r>
        <w:t xml:space="preserve">Pengumpulan Data dan Permohonan Penagihan</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Kirim link Google Form Data Subskripsi Klien ke klien baru saat PKS ditandatangani.</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Link Google Form terkirim ke klien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Cek respons Google Form klien sampai kelima data master klien terisi.</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Respons Google Form dengan lima data master klien terisi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Perbarui Master Sales Sheet dengan respons Google Form, status PKS, nilai PO, dan skema pembayaran.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Master Sales Sheet terbarui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Setelah milestone atau pekerjaan selesai, ajukan permohonan penagihan ke Finance Staff dengan lampiran BAST bertanda tangan, acuan PO, PKS, dan NPWP klien.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Project Manager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Form Permohonan Penagihan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Konfirmasi di permohonan bahwa data master klien di Master Sales Sheet dan Google Form sudah lengkap.</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Project Manager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Konfirmasi data master klien di permohonan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Periksa kelengkapan dokumen pendukung dan kecocokan data antara permohonan penagihan, respons Google Form, dan Master Sales Sheet.</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Hasil pemeriksaan kelengkapan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Penerbitan e-Faktur Pajak dan Draf Invoice</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Lakukan 3-way matching antara nominal PKS, acuan PO, dan BAST.</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Hasil 3-way matching</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Terbitkan e-Faktur Pajak di CoreTax DJP dengan PPN sesuai DPP transaksi (butir 4.5).</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e-Faktur Pajak (PDF)</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Susun draf invoice di Templat Invoice Resmi FAT (Google Sheets), berisi nomor invoice, tanggal penerbitan, rincian pekerjaan, nominal PPN, estimasi PPh Pasal 23, dan jatuh tempo sesuai TOP.</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Draf invoice di Google Sheets</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Pemeriksaan dan Persetujuan</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Periksa draf invoice, e-Faktur Pajak, dan dokumen pendukung terhadap Master Sales Sheet dan respons Google Form Data Subskripsi Klien.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Lead</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Hasil pemeriksaan Finance Lead</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Periksa perhitungan PPN dan catatan PPh Pasal 23 di draf invoice.</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Lead</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Hasil pemeriksaan pajak</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Teruskan draf invoice ke Direktur Utama jika TOP di atas TOP standar.</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Lead</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Draf invoice diteruskan ke Direktur Utama</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Beri persetujuan tertulis atas TOP di atas TOP standar.</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Utama</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Persetujuan tertulis Direktur Utama</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Beri persetujuan tertulis untuk pengiriman invoice jika draf dan dokumen sudah sesuai.</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Lead</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Persetujuan tertulis Finance Lead</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Pengiriman Invoice ke Klien</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Kirim email penagihan ke PIC Finance/AP klien dan PIC Proyek klien, dengan lampiran PDF invoice, e-Faktur Pajak, BAST, PO, dan PKS.</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Email penagihan terkirim</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Cetak berkas penagihan jika PKS mensyaratkan hard copy.</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Berkas penagihan cetak</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Bubuhkan tanda tangan dan stempel perusahaan pada berkas cetak.</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Berkas cetak bertanda tangan dan berstempel</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Kirim berkas cetak ke alamat penagihan klien melalui kurir.</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Berkas cetak terkirim</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Konfirmasi ke klien bahwa email atau kiriman kurir sudah diterima.</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Konfirmasi penerimaan dari klien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Catat tanggal penerimaan resmi.</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Tanggal penerimaan resmi tercatat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Pencatatan dan Pemantauan Piutang</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Catat transaksi penagihan, termasuk tanggal kirim invoice, di Register Penagihan dan Penjualan.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Baris transaksi di Register Penagihan dan Penjualan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Pantau kas masuk dari klien setiap hari via KlikBCA Bisnis.</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Hasil pemantauan kas masuk</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Rekonsiliasi piutang setelah pembayaran klien diterima.</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Piutang terekonsiliasi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Ubah status invoice menjadi Lunas di Register Penagihan dan Penjualan.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Status Lunas di Register Penagihan dan Penjualan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Rekonsiliasi estimasi pemotongan PPh Pasal 23 dengan Bukti Potong saat Bukti Potong diterima dari klien (butir 4.6).</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Bukti Potong tercatat di Register Penagihan dan Penjualan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11AE1C40" w14:textId="77777777" w:rsidR="00330634" w:rsidRDefault="00330634">
      <w:pPr>
        <w:spacing w:after="120" w:line="252" w:lineRule="auto"/>
        <w:ind w:left="2160"/>
        <w:rPr>
          <w:sz w:val="24"/>
          <w:szCs w:val="24"/>
        </w:rPr>
      </w:pPr>
    </w:p>
    <w:p w14:paraId="5F7E718E" w14:textId="1A93316E" w:rsidR="00330634" w:rsidRDefault="00000000">
      <w:pPr>
        <w:pStyle w:val="Heading1"/>
        <w:numPr>
          <w:ilvl w:val="0"/>
          <w:numId w:val="7"/>
        </w:numPr>
      </w:pPr>
      <w:bookmarkStart w:id="11" w:name="_wakatklxleao" w:colFirst="0" w:colLast="0"/>
      <w:bookmarkEnd w:id="11"/>
      <w:r>
        <w:t>PROCESS FLOW</w:t>
      </w:r>
    </w:p>
    <w:p w14:paraId="10D7382B" w14:textId="77777777" w:rsidR="00330634" w:rsidRDefault="00000000">
      <w:pPr>
        <w:pBdr>
          <w:top w:val="nil"/>
          <w:left w:val="nil"/>
          <w:bottom w:val="nil"/>
          <w:right w:val="nil"/>
          <w:between w:val="nil"/>
        </w:pBdr>
        <w:spacing w:after="120" w:line="252" w:lineRule="auto"/>
        <w:jc w:val="both"/>
        <w:rPr>
          <w:sz w:val="24"/>
          <w:szCs w:val="24"/>
        </w:rPr>
      </w:pPr>
      <w:r>
        <w:drawing>
          <wp:inline xmlns:a="http://schemas.openxmlformats.org/drawingml/2006/main" xmlns:pic="http://schemas.openxmlformats.org/drawingml/2006/picture">
            <wp:extent cx="4059871" cy="6840000"/>
            <wp:docPr id="1" name="Picture 1"/>
            <wp:cNvGraphicFramePr>
              <a:graphicFrameLocks noChangeAspect="1"/>
            </wp:cNvGraphicFramePr>
            <a:graphic>
              <a:graphicData uri="http://schemas.openxmlformats.org/drawingml/2006/picture">
                <pic:pic>
                  <pic:nvPicPr>
                    <pic:cNvPr id="0" name="FAT-SOP-01_flow.png"/>
                    <pic:cNvPicPr/>
                  </pic:nvPicPr>
                  <pic:blipFill>
                    <a:blip r:embed="rId11"/>
                    <a:stretch>
                      <a:fillRect/>
                    </a:stretch>
                  </pic:blipFill>
                  <pic:spPr>
                    <a:xfrm>
                      <a:off x="0" y="0"/>
                      <a:ext cx="4059871" cy="6840000"/>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penerbitan invoice kepada klien, dari permohonan penagihan sampai pemantauan pelunasan.</w:t>
      </w:r>
    </w:p>
    <w:p w14:paraId="2B928C75" w14:textId="77777777" w:rsidR="00330634" w:rsidRDefault="00330634">
      <w:pPr>
        <w:rPr>
          <w:sz w:val="24"/>
          <w:szCs w:val="24"/>
        </w:rPr>
      </w:pPr>
    </w:p>
    <w:p w14:paraId="30233F3E" w14:textId="77777777" w:rsidR="00330634" w:rsidRDefault="00000000">
      <w:pPr>
        <w:pBdr>
          <w:top w:val="nil"/>
          <w:left w:val="nil"/>
          <w:bottom w:val="nil"/>
          <w:right w:val="nil"/>
          <w:between w:val="nil"/>
        </w:pBdr>
        <w:spacing w:after="120" w:line="252" w:lineRule="auto"/>
        <w:rPr>
          <w:b/>
          <w:bCs/>
          <w:sz w:val="24"/>
          <w:szCs w:val="24"/>
        </w:rPr>
      </w:pPr>
      <w:r>
        <w:br w:type="page"/>
      </w:r>
    </w:p>
    <w:p w14:paraId="533E0616" w14:textId="77777777" w:rsidR="00330634" w:rsidRDefault="00000000">
      <w:pPr>
        <w:pStyle w:val="Heading1"/>
        <w:keepNext/>
        <w:numPr>
          <w:ilvl w:val="0"/>
          <w:numId w:val="7"/>
        </w:numPr>
      </w:pPr>
      <w:bookmarkStart w:id="12" w:name="_8o37hxr2x2l3" w:colFirst="0" w:colLast="0"/>
      <w:bookmarkEnd w:id="12"/>
      <w:r>
        <w:lastRenderedPageBreak/>
        <w:t>SERVICE LEVEL AGREEMENT (SLA)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cantSplit/>
          <w:tblHeade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Activity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SLA / Timing</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Pemantauan kas masuk melalui KlikBCA Bisnis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Setiap hari</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Pembaruan status invoice di Register Penagihan dan Penjualan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Staff</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Setiap kali status berubah (butir 4.13)</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Evaluasi log ketidaksesuaian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Lead</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Setiap bulan (butir 4.14)</w:t>
            </w:r>
          </w:p>
        </w:tc>
      </w:tr>
    </w:tbl>
    <w:p w14:paraId="31AF9526" w14:textId="77777777" w:rsidR="00330634" w:rsidRDefault="00330634">
      <w:pPr>
        <w:rPr>
          <w:sz w:val="24"/>
          <w:szCs w:val="24"/>
        </w:rPr>
      </w:pPr>
    </w:p>
    <w:p w14:paraId="37F9AFA4" w14:textId="77777777" w:rsidR="00330634" w:rsidRDefault="00000000">
      <w:pPr>
        <w:pStyle w:val="Heading1"/>
        <w:keepNext/>
        <w:numPr>
          <w:ilvl w:val="0"/>
          <w:numId w:val="7"/>
        </w:numPr>
      </w:pPr>
      <w:bookmarkStart w:id="13" w:name="_dhckkhyolnm" w:colFirst="0" w:colLast="0"/>
      <w:bookmarkEnd w:id="13"/>
      <w:r>
        <w:t>EXCEPTION MANAGEMENT</w:t>
      </w:r>
    </w:p>
    <w:tbl>
      <w:tblPr>
        <w:tblStyle w:val="a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765"/>
      </w:tblGrid>
      <w:tr w:rsidR="00330634" w14:paraId="08DA0AF0" w14:textId="77777777">
        <w:trPr>
          <w:cantSplit/>
          <w:tblHeader/>
        </w:trPr>
        <w:tc>
          <w:tcPr>
            <w:tcW w:w="2745" w:type="dxa"/>
            <w:tcMar>
              <w:top w:w="100" w:type="dxa"/>
              <w:left w:w="100" w:type="dxa"/>
              <w:bottom w:w="100" w:type="dxa"/>
              <w:right w:w="100" w:type="dxa"/>
            </w:tcMar>
          </w:tcPr>
          <w:p w14:paraId="00D40272" w14:textId="5BAA7698" w:rsidR="00330634" w:rsidRDefault="00330634">
            <w:pPr>
              <w:keepNext/>
              <w:spacing w:after="120" w:line="252" w:lineRule="auto"/>
              <w:rPr>
                <w:sz w:val="24"/>
                <w:szCs w:val="24"/>
              </w:rPr>
            </w:pPr>
            <w:r>
              <w:rPr>
                <w:b/>
                <w:sz w:val="24"/>
                <w:szCs w:val="24"/>
              </w:rPr>
              <w:t>Kondisi</w:t>
            </w:r>
          </w:p>
        </w:tc>
        <w:tc>
          <w:tcPr>
            <w:tcW w:w="6765" w:type="dxa"/>
            <w:tcMar>
              <w:top w:w="100" w:type="dxa"/>
              <w:left w:w="100" w:type="dxa"/>
              <w:bottom w:w="100" w:type="dxa"/>
              <w:right w:w="100" w:type="dxa"/>
            </w:tcMar>
          </w:tcPr>
          <w:p w14:paraId="606E770D" w14:textId="5902CE20" w:rsidR="00330634" w:rsidRDefault="00330634">
            <w:pPr>
              <w:keepNext/>
              <w:spacing w:after="120" w:line="252" w:lineRule="auto"/>
              <w:jc w:val="left"/>
              <w:rPr>
                <w:sz w:val="24"/>
                <w:szCs w:val="24"/>
              </w:rPr>
            </w:pPr>
            <w:r>
              <w:rPr>
                <w:b/>
                <w:sz w:val="24"/>
                <w:szCs w:val="24"/>
              </w:rPr>
              <w:t>Penanganan</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Dokumen pendukung atau data master klien belum lengkap</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Finance Staff tidak memproses permohonan penagihan itu (butir 4.1 dan 4.2).</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Kesalahan data pada draf invoice atau e-Faktur Pajak, atau klien menolak invoice</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Finance Staff menerbitkan Surat Pembatalan atau Revisi Invoice dan Faktur Pajak Pengganti melalui CoreTax DJP setelah disetujui Finance Lead. Alasan, bukti persetujuan, dan riwayatnya dicatat di arsip digital FAT dan log ketidaksesuaian.</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Draf invoice memuat TOP di atas TOP standar</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Finance Lead meneruskan draf ke Direktur Utama untuk mendapat persetujuan tertulis.</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Invoice melewati jatuh tempo (Overdue)</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Finance Staff meneruskan pemantauan sesuai SOP Account Receivable &amp; Collection, yang masih dalam review dan berada di luar scope SOP ini.</w:t>
            </w:r>
          </w:p>
        </w:tc>
      </w:tr>
    </w:tbl>
    <w:p w14:paraId="3324CEC9" w14:textId="27EBBE9F" w:rsidR="00330634" w:rsidRDefault="00330634">
      <w:pPr>
        <w:pBdr>
          <w:top w:val="nil"/>
          <w:left w:val="nil"/>
          <w:bottom w:val="nil"/>
          <w:right w:val="nil"/>
          <w:between w:val="nil"/>
        </w:pBdr>
        <w:spacing w:after="120" w:line="252" w:lineRule="auto"/>
        <w:rPr>
          <w:b/>
          <w:bCs/>
          <w:sz w:val="24"/>
          <w:szCs w:val="24"/>
        </w:rPr>
      </w:pPr>
      <w:bookmarkStart w:id="14" w:name="_rmg8phj7h71r" w:colFirst="0" w:colLast="0"/>
      <w:bookmarkEnd w:id="14"/>
    </w:p>
    <w:p w14:paraId="261DC246" w14:textId="77777777" w:rsidR="00330634" w:rsidRDefault="00000000">
      <w:pPr>
        <w:pStyle w:val="Heading1"/>
        <w:numPr>
          <w:ilvl w:val="0"/>
          <w:numId w:val="7"/>
        </w:numPr>
      </w:pPr>
      <w:r>
        <w:t>CONCLUSION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Finance Lead sebagai pemilik SOP memantau kepatuhan melalui Register Penagihan dan Penjualan serta log ketidaksesuaian.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Finance Lead meninjau SOP ini setiap tahun.</w:t>
      </w:r>
    </w:p>
    <w:p w14:paraId="4B548646" w14:textId="19FCA36B" w:rsidR="00AA0D9D" w:rsidRDefault="00AA0D9D">
      <w:pPr>
        <w:rPr>
          <w:sz w:val="24"/>
          <w:szCs w:val="24"/>
        </w:rPr>
      </w:pPr>
      <w:r>
        <w:rPr>
          <w:sz w:val="24"/>
          <w:szCs w:val="24"/>
        </w:rPr>
        <w:br w:type="page"/>
      </w:r>
    </w:p>
    <w:p w14:paraId="0C16088E" w14:textId="77777777" w:rsidR="00AA0D9D" w:rsidRDefault="00AA0D9D">
      <w:pPr>
        <w:pBdr>
          <w:top w:val="nil"/>
          <w:left w:val="nil"/>
          <w:bottom w:val="nil"/>
          <w:right w:val="nil"/>
          <w:between w:val="nil"/>
        </w:pBdr>
        <w:spacing w:after="120" w:line="252" w:lineRule="auto"/>
        <w:jc w:val="both"/>
        <w:rPr>
          <w:sz w:val="24"/>
          <w:szCs w:val="24"/>
        </w:rPr>
      </w:pPr>
    </w:p>
    <w:p w14:paraId="039D83D6" w14:textId="77777777" w:rsidR="00330634" w:rsidRDefault="00000000">
      <w:pPr>
        <w:pStyle w:val="Heading1"/>
        <w:numPr>
          <w:ilvl w:val="0"/>
          <w:numId w:val="7"/>
        </w:numPr>
        <w:spacing w:after="0"/>
      </w:pPr>
      <w:bookmarkStart w:id="15" w:name="_m5lheg6k2ytw" w:colFirst="0" w:colLast="0"/>
      <w:bookmarkEnd w:id="15"/>
      <w:r>
        <w:t>RELATED DOCUMENTS &amp; ATTACHMENTS</w:t>
      </w:r>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b/>
        </w:rPr>
        <w:t xml:space="preserve">Dokumen terkait</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cantSplit/>
          <w:tblHeader/>
          <w:jc w:val="center"/>
        </w:trPr>
        <w:tc>
          <w:tcPr>
            <w:tcW w:w="2268" w:type="dxa"/>
            <w:vAlign w:val="center"/>
          </w:tcPr>
          <w:p w14:paraId="5B3215B8" w14:textId="77777777" w:rsidR="00330634" w:rsidRDefault="00000000">
            <w:pPr>
              <w:keepNext/>
              <w:jc w:val="center"/>
              <w:rPr>
                <w:sz w:val="24"/>
                <w:szCs w:val="24"/>
              </w:rPr>
            </w:pPr>
            <w:r>
              <w:rPr>
                <w:b/>
                <w:bCs/>
                <w:sz w:val="24"/>
                <w:szCs w:val="24"/>
              </w:rPr>
              <w:t>Kode / Dokumen</w:t>
            </w:r>
          </w:p>
        </w:tc>
        <w:tc>
          <w:tcPr>
            <w:tcW w:w="6803" w:type="dxa"/>
            <w:vAlign w:val="center"/>
          </w:tcPr>
          <w:p w14:paraId="2B782A9B" w14:textId="77777777" w:rsidR="00330634" w:rsidRDefault="00000000">
            <w:pPr>
              <w:keepNext/>
              <w:jc w:val="center"/>
              <w:rPr>
                <w:sz w:val="24"/>
                <w:szCs w:val="24"/>
              </w:rPr>
            </w:pPr>
            <w:r>
              <w:rPr>
                <w:b/>
                <w:bCs/>
                <w:sz w:val="24"/>
                <w:szCs w:val="24"/>
              </w:rPr>
              <w:t>Keterangan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SNX-FAT-SOP-05</w:t>
            </w:r>
          </w:p>
        </w:tc>
        <w:tc>
          <w:tcPr>
            <w:tcW w:w="6803" w:type="dxa"/>
            <w:vAlign w:val="center"/>
          </w:tcPr>
          <w:p w14:paraId="6E842649" w14:textId="12DD9EBE" w:rsidR="00330634" w:rsidRDefault="00330634">
            <w:pPr>
              <w:rPr>
                <w:sz w:val="24"/>
                <w:szCs w:val="24"/>
              </w:rPr>
            </w:pPr>
            <w:r>
              <w:rPr>
                <w:b w:val="0"/>
                <w:sz w:val="24"/>
                <w:szCs w:val="24"/>
              </w:rPr>
              <w:t>Tax Administration &amp; Reporting. Mengatur pelaporan dan penyetoran pajak, di luar scope SOP ini.</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SNX-HR-ORG-01</w:t>
            </w:r>
          </w:p>
        </w:tc>
        <w:tc>
          <w:tcPr>
            <w:tcW w:w="6803" w:type="dxa"/>
            <w:vAlign w:val="center"/>
          </w:tcPr>
          <w:p w14:paraId="6E842649" w14:textId="12DD9EBE" w:rsidR="00330634" w:rsidRDefault="00330634">
            <w:pPr>
              <w:rPr>
                <w:sz w:val="24"/>
                <w:szCs w:val="24"/>
              </w:rPr>
            </w:pPr>
            <w:r>
              <w:rPr>
                <w:b w:val="0"/>
                <w:sz w:val="24"/>
                <w:szCs w:val="24"/>
              </w:rPr>
              <w:t>Struktur Organisasi SINUX. Sumber nama jabatan dan matriks peran.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SNX-ISMS-PRO-01</w:t>
            </w:r>
          </w:p>
        </w:tc>
        <w:tc>
          <w:tcPr>
            <w:tcW w:w="6803" w:type="dxa"/>
            <w:vAlign w:val="center"/>
          </w:tcPr>
          <w:p w14:paraId="6E842649" w14:textId="12DD9EBE" w:rsidR="00330634" w:rsidRDefault="00330634">
            <w:pPr>
              <w:rPr>
                <w:sz w:val="24"/>
                <w:szCs w:val="24"/>
              </w:rPr>
            </w:pPr>
            <w:r>
              <w:rPr>
                <w:b w:val="0"/>
                <w:sz w:val="24"/>
                <w:szCs w:val="24"/>
              </w:rPr>
              <w:t>Information Classification &amp; Handling. Sumber tingkat klasifikasi RESTRICTED (Internal).</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Belum bernomor</w:t>
            </w:r>
          </w:p>
        </w:tc>
        <w:tc>
          <w:tcPr>
            <w:tcW w:w="6803" w:type="dxa"/>
            <w:vAlign w:val="center"/>
          </w:tcPr>
          <w:p w14:paraId="6E842649" w14:textId="12DD9EBE" w:rsidR="00330634" w:rsidRDefault="00330634">
            <w:pPr>
              <w:rPr>
                <w:sz w:val="24"/>
                <w:szCs w:val="24"/>
              </w:rPr>
            </w:pPr>
            <w:r>
              <w:rPr>
                <w:b w:val="0"/>
                <w:sz w:val="24"/>
                <w:szCs w:val="24"/>
              </w:rPr>
              <w:t>SOP Account Receivable &amp; Collection (sedang dalam review). Mengatur penagihan invoice kepada klien dan pendataan piutang, termasuk tindak lanjut Overdue.</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Belum bernomor</w:t>
            </w:r>
          </w:p>
        </w:tc>
        <w:tc>
          <w:tcPr>
            <w:tcW w:w="6803" w:type="dxa"/>
            <w:vAlign w:val="center"/>
          </w:tcPr>
          <w:p w14:paraId="6E842649" w14:textId="12DD9EBE" w:rsidR="00330634" w:rsidRDefault="00330634">
            <w:pPr>
              <w:rPr>
                <w:sz w:val="24"/>
                <w:szCs w:val="24"/>
              </w:rPr>
            </w:pPr>
            <w:r>
              <w:rPr>
                <w:b w:val="0"/>
                <w:sz w:val="24"/>
                <w:szCs w:val="24"/>
              </w:rPr>
              <w:t>Form Permohonan Penagihan (Billing Request Form). Template pengajuan penagihan yang diisi Project Manager, dengan checklist empat dokumen pendukung.</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Belum bernomor</w:t>
            </w:r>
          </w:p>
        </w:tc>
        <w:tc>
          <w:tcPr>
            <w:tcW w:w="6803" w:type="dxa"/>
            <w:vAlign w:val="center"/>
          </w:tcPr>
          <w:p w14:paraId="6E842649" w14:textId="12DD9EBE" w:rsidR="00330634" w:rsidRDefault="00330634">
            <w:pPr>
              <w:rPr>
                <w:sz w:val="24"/>
                <w:szCs w:val="24"/>
              </w:rPr>
            </w:pPr>
            <w:r>
              <w:rPr>
                <w:b w:val="0"/>
                <w:sz w:val="24"/>
                <w:szCs w:val="24"/>
              </w:rPr>
              <w:t>Templat Invoice Resmi FAT. Format baku invoice SINUX di Google Sheets.</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SNX-FAT-REG-01</w:t>
            </w:r>
          </w:p>
        </w:tc>
        <w:tc>
          <w:tcPr>
            <w:tcW w:w="6803" w:type="dxa"/>
            <w:vAlign w:val="center"/>
          </w:tcPr>
          <w:p w14:paraId="6E842649" w14:textId="12DD9EBE" w:rsidR="00330634" w:rsidRDefault="00330634">
            <w:pPr>
              <w:rPr>
                <w:sz w:val="24"/>
                <w:szCs w:val="24"/>
              </w:rPr>
            </w:pPr>
            <w:r>
              <w:rPr>
                <w:b w:val="0"/>
                <w:sz w:val="24"/>
                <w:szCs w:val="24"/>
              </w:rPr>
              <w:t>Billing &amp; Collection Monitoring Register. Format yang diusulkan untuk Register Penagihan dan Penjualan.</w:t>
            </w:r>
          </w:p>
        </w:tc>
      </w:tr>
    </w:tbl>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b/>
        </w:rPr>
        <w:t xml:space="preserve">Rekaman (records)</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cantSplit/>
          <w:tblHeade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Rekaman</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Lokasi simpan dan pemilik</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Retensi</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Invoice, e-Faktur Pajak, PKS, PO, dan BAST (PDF)</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FAT dengan struktur Tahun / Nama Klien / Nomor Invoice; pemilik Finance Lead (butir 4.15)</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Minimal 10 tahun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 Potong PPh Pasal 23 dari klien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Dicatat di Register Penagihan dan Penjualan; lokasi berkas belum ditetapkan; pemilik Finance Lead (butir 4.15)</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Minimal 10 tahun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Persetujuan tertulis Finance Lead dan Direktur Utama atas invoice dan TOP</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Bukti persetujuan perubahan atau pembatalan invoice disimpan di arsip digital FAT; lokasi persetujuan lain belum ditetapkan; pemilik Finance Lead (butir 4.15)</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Minimal 10 tahun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Register Penagihan dan Penjualan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Sheets, hanya diakses personel FAT dan Direktur Utama; pemilik Finance Lead (butir 4.15)</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Minimal 10 tahun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Master Sales Sheet dan respons Google Form Data Subskripsi Klien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Dikelola Business Development; lokasi belum ditetapkan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Log ketidaksesuaian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belum ditetapkan; pemilik Finance Lead (butir 4.15)</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Minimal 10 tahun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Berita Acara Pemusnahan Dokumen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belum ditetapkan; pemilik Finance Lead (butir 4.15)</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Acuan standar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Status daftar klausul: Pemetaan klausul di bawah masih perlu dikonfirmasi konsultan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 9001:2015: 7.5.3 (Pengendalian informasi terdokumentasi), untuk penyimpanan dan masa simpan arsip di butir 4.12; 8.2 (Persyaratan untuk produk dan jasa), untuk invoice yang mengikuti PKS dan PO di butir 4.1 dan 4.3; 8.5 (Produksi dan penyediaan jasa), untuk pencocokan sebelum e-Faktur Pajak diterbitkan di butir 4.3; 8.6 (Pelepasan produk dan jasa), untuk persetujuan Finance Lead sebelum invoice dikirim ke klien di butir 4.4.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ISO/IEC 27001:2022: Annex A 5.12 (Klasifikasi informasi), untuk butir 4.10; Annex A 5.15 (Kontrol akses), untuk pembatasan akses di butir 4.10; Annex A 5.33 (Perlindungan rekaman), untuk butir 4.10 dan 4.12; Annex A 8.5 (Autentikasi aman), untuk 2FA di butir 4.11.</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