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Customer Contract Review Checklist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SNX-LEG-FRM-01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Customer Contract Review Checklist</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SNX-LEG-FRM-01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Penggunaan</w:t>
            <w:br/>
            <w:t xml:space="preserve">4. Peran</w:t>
            <w:br/>
            <w:t xml:space="preserve">5. Petunjuk Pengisian</w:t>
            <w:br/>
            <w:t xml:space="preserve">6. Isi Formulir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Departemen Legal memakai form ini untuk menelaah kontrak pelanggan sebelum ditandatangani Pejabat Berwenang: risiko hukum, risiko komersial, serta kejelasan hak dan kewajiban para pihak.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kontrak pelanggan ditelaah sebelum ditandatangani, dan temuan serta rekomendasi Departemen Legal tercatat dan dapat ditelusuri.</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(formulir) ini dipakai untuk kontrak antara SINUX dan pelanggan: layanan teknologi informasi, layanan cloud, penjualan hardware, implementasi, maintenance, dan kerja sama komersial lain. Staff Legal menyesuaikan kedalaman penelaahan dengan jenis layanan, transaksi, dan risiko tiap kontrak.</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Yang dikecualikan dari form ini:</w:t>
      </w:r>
    </w:p>
    <w:tbl>
      <w:tblPr>
        <w:tblStyle w:val="a4"/>
        <w:tblW w:w="9528" w:type="dxa"/>
        <w:jc w:val="center"/>
        <w:tblInd w:w="0" w:type="dxa"/>
        <w:tblLayout w:type="fixed"/>
        <w:tblLook w:val="0400" w:firstRow="0" w:lastRow="0" w:firstColumn="0" w:lastColumn="0" w:noHBand="0" w:noVBand="1"/>
      </w:tblPr>
      <w:tblGrid>
        <w:gridCol w:w="3402"/>
        <w:gridCol w:w="5670"/>
      </w:tblGrid>
      <w:tr w:rsidR="00330634" w14:paraId="6C606F6C" w14:textId="77777777">
        <w:trPr>
          <w:cantSplit/>
          <w:tblHeade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67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dengan vendor, pemasok, mitra kerja sama, dan subkontraktor</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ditelaah dengan form ini. Kontrak vendor dan pemasok memakai SNX-LEG-FRM-02 (USULAN).</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bisnis, komersial, keuangan, dan keamanan informasi</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menjadi wewenang Pejabat Berwenang dan Unit Kerja Terkait sesuai bidangnya. Form ini hanya mencatat risikonya (SNX-LEG-SOP-02).</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Penerimaan permintaan, negosiasi, persetujuan, penandatanganan, dan pengarsipan kontrak</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SNX-LEG-SOP-02. Form ini hanya memuat hasil penelaahan.</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menyeluruh atas kepatuhan pelindungan data pribadi dan kerahasiaan</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Form ini hanya memeriksa ketentuan kontraknya (aspek C5.1 dan C5.2). Review menyeluruh memakai SNX-LEG-FRM-03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isi yang belum diputuskan tertulis oleh pimpinan SINUX.</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yang ditelaah, berupa satu baris berkode di tabel Daftar Periksa.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 dan Staff Legal.</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Delegation of Authority: wewenang menyetujui transaksi dan menandatangani kontrak menurut jenis dan nilainya.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Kelompok</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Kumpulan aspek sejenis di tabel Daftar Periksa, sebanyak delapan kelompok.</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Klien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Sama dengan pelanggan; dipakai pada field Nama Klien. Klien akhir adalah pelanggan dari pelanggan SINUX (USULAN).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antara SINUX dan pelanggan yang diajukan untuk ditandatangani.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Berwenang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Penanda tangan kontrak atas nama SINUX berdasarkan DoA, anggaran dasar, surat kuasa, atau dasar sah lain (SNX-LEG-SOP-02).</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Penelaahan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satu kontrak dengan form ini, dari Informasi Kontrak sampai Rekomendasi.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Legal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Persetujuan Line Manager Legal bahwa kontrak sudah ditelaah secara hukum dan hasilnya disampaikan (SNX-LEG-SOP-02).</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Kontak utama Unit Kerja Pemohon untuk satu kontrak; di SNX-LEG-SOP-02 disebut PIC Bisnis (USULAN).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 hukum</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Kerugian bagi SINUX karena ketentuan kontrak melanggar hukum yang berlaku, tidak jelas, atau tidak seimbang (USULAN).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 komersial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Kerugian bagi SINUX dari sisi harga, pembayaran, biaya, atau kewajiban layanan akibat ketentuan kontrak (USULAN).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Temuan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Ketentuan kontrak atau kekurangan informasi yang membuat satu aspek berstatus Perlu Tindak Lanjut.</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SINUX yang mengajukan kontrak pelanggan untuk ditelaah; di SNX-LEG-SOP-02 disebut Pemohon.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di luar Departemen Legal yang memberi masukan sesuai bidangnya, misalnya Finance, Accounting &amp; Tax, IT, atau fungsi keamanan informasi (SNX-LEG-SOP-02).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 dan Tingkat Risiko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Status diisi dengan salah satu nilai berikut (USULAN).</w:t>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Ketentuan kontrak pada aspek itu memenuhi Hal yang Diperiksa.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Tindak Lanjut</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ketentuan yang harus diubah, dilengkapi, atau dibahas dengan Unit Kerja Terkait sebelum penandatanganan.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Aspek tidak ada dalam kontrak ini atau tidak relevan dengan jenis layanannya. Alasannya ditulis di kolom Catatan/Tindak Lanjut.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Tingkat Risiko di tabel Temuan Utama dan Risiko diisi Tinggi, Sedang, atau Rendah, dengan kriteria sesuai SNX-LEG-SOP-02 butir 4.8 sampai 4.10.</w:t>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Satu form dipakai untuk satu kontrak pelanggan, dan diisi setelah Unit Kerja Pemohon menyerahkan permintaan penelaahan yang lengkap (SNX-LEG-SOP-02 butir 6.1). Apakah form ini wajib untuk setiap kontrak pelanggan masih menunggu keputusan Line Manager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mengisi tabel Informasi Kontrak dari permintaan Unit Kerja Pemohon dan dari kontrak. Target Penyelesaian ditetapkan Line Manager Legal saat penugasan.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menelaah kontrak terhadap semua aspek di tabel Daftar Periksa, lalu mengisi Status serta Catatan/Tindak Lanjut di tiap baris. Aspek yang tidak relevan diberi status Tidak Berlaku (SNX-LEG-SOP-02 butir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Setiap temuan dicatat di tabel Temuan Utama dan Risiko, lengkap dengan Jenis Risiko dan Tingkat Risiko. Risiko Tinggi dieskalasi Staff Legal kepada Line Manager Legal (SNX-LEG-SOP-02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mencentang Hasil Penelaahan dan Rekomendasi serta menulis dasar rekomendasi, lalu form terisi diperiksa Line Manager Legal. Hasil Penelaahan boleh lebih dari satu pilihan, kecuali Tidak terdapat temuan; Rekomendasi hanya satu pilihan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Rekomendasi di form ini bukan Persetujuan Legal. Persetujuan Legal diberikan Line Manager Legal dan tidak menggantikan persetujuan Pejabat Berwenang (SNX-LEG-SOP-02 butir 4.2).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Kontrak yang berubah material setelah Persetujuan Legal ditelaah ulang sesuai SNX-LEG-SOP-02 butir 4.14. Staff Legal memakai form baru untuk telaah ulang itu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Form terisi disimpan Staff Legal bersama berkas kontrak di folder Google Drive Departemen Legal, dan lokasinya dicatat di tabel Lokasi Penyimpanan Dokumen (USULAN, SNX-LEG-SOP-01 butir 4.24 dan SNX-LEG-SOP-03 butir 4.8). Karena memuat nama pelanggan dan nilai kontrak, form terisi berklasifikasi RESTRICTED (Internal) sesuai SNX-ISMS-PRO-01.</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form ini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form, menelaah kontrak, mencatat temuan dan rekomendasi, serta menyimpan form terisi sebagai pencatat record (rekaman). Jabatan: Legal &amp; Compliance (JA-09).</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Target Penyelesaian, menerima eskalasi risiko Tinggi, memeriksa form terisi, dan memberi Persetujuan Legal. Jabatan: Legal &amp; Compliance (JA-08). Pemilik form ini dan form terisi (USULAN, SNX-LEG-SOP-02 butir 4.19 dan SNX-LEG-SOP-03).</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kontrak pelanggan dan data permintaan melalui PIC Internal.</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Menjadi kontak utama Unit Kerja Pemohon untuk satu kontrak, menjawab pertanyaan Staff Legal, dan memastikan harga serta ketentuan komersial sesuai kesepakatan bisnis (aspek C3.1).</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Membahas temuan sesuai bidangnya jika pilihan pembahasan lebih lanjut di Hasil Penelaahan dicentang.</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Berwenang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Memutuskan penerimaan risiko Tinggi, menyetujui transaksi, dan menandatangani kontrak menurut DoA. Jabatannya belum ditetapkan karena matriks DoA belum terbit. Mengisi baris Disetujui oleh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form ini tercantum di blok Approval.</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Isi sembilan field di tabel Informasi Kontrak dari permintaan dan kontrak. Tulis tanda strip (-) pada field yang tidak ada di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Baca kolom Hal yang Diperiksa tanpa mengubahnya. Hal tambahan yang khusus untuk satu kontrak ditulis di kolom Catatan/Tindak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Isi kolom Status dengan Sesuai, Perlu Tindak Lanjut, atau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kolom Catatan/Tindak Lanjut, tulis letak klausul (pasal atau halaman), temuan, dan usulan perubahan.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Centang pilihan Hasil Penelaahan dan Rekomendasi dengan mengganti ☐ menjadi ☒.</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Isi satu baris di tabel Temuan Utama dan Risiko untuk tiap temuan. Kolom Aspek diisi kode aspek, misalnya C4.3. Jenis Risiko diisi Hukum, Komersial, atau Hukum dan Komersial; Tingkat Risiko diisi Tinggi, Sedang, atau Rendah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Di kolom Pihak dan Target Selesai, tulis jabatan penanggung jawab dan tanggal target.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Di Dasar rekomendasi, tulis kode aspek dan temuan yang menjadi alasan rekomendasi.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Isi baris Disusun oleh dengan nama, jabatan, tanggal, dan tanda tangan. Baris Diperiksa oleh diisi Line Manager Legal dan baris Disetujui oleh diisi Pejabat Berwenang, masing-masing oleh pihak itu sendiri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Di tabel Lokasi Penyimpanan Dokumen, tulis link Google Drive atau lokasi berkas kontrak, hasil penelaahan, dan korespondensi.</w:t>
      </w:r>
    </w:p>
    <w:p w14:paraId="49B09B34" w14:textId="77777777" w:rsidR="00330634" w:rsidRDefault="00000000">
      <w:pPr>
        <w:pStyle w:val="Heading1"/>
        <w:numPr>
          <w:ilvl w:val="0"/>
          <w:numId w:val="7"/>
        </w:numPr>
        <w:spacing w:after="0"/>
      </w:pPr>
      <w:r>
        <w:t>ISI FORMULIR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Staff Legal mengisinya untuk satu kontrak pelanggan.</w:t>
      </w:r>
    </w:p>
    <w:p w14:paraId="529DFADF" w14:textId="02DADB71" w:rsidR="00330634" w:rsidRDefault="00AA0D9D" w:rsidP="00AA0D9D">
      <w:pPr>
        <w:pStyle w:val="Heading2"/>
        <w:keepNext/>
        <w:numPr>
          <w:ilvl w:val="1"/>
          <w:numId w:val="7"/>
        </w:numPr>
      </w:pPr>
      <w:r>
        <w:t>Informasi Kontrak</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Klien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Nama/Jenis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Nilai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Jangka Waktu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Penerimaan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Target Penyelesaian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Daftar Periksa Penelaahan Kontrak</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C1.2, C2.4, C4.5, C5.4, C7.3, dan C8.2 menunggu keputusan Line Manager Legal (USULAN).</w:t>
      </w:r>
    </w:p>
    <w:p w14:paraId="529DFADF" w14:textId="02DADB71" w:rsidR="00330634" w:rsidRDefault="00AA0D9D" w:rsidP="00AA0D9D">
      <w:pPr>
        <w:pStyle w:val="Heading2"/>
        <w:keepNext/>
        <w:numPr>
          <w:ilvl w:val="1"/>
          <w:numId w:val="7"/>
        </w:numPr>
      </w:pPr>
      <w:r>
        <w:t>Kelompok C1: Identitas dan Kewenangan Para Pihak</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Identitas Para Pihak</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Nama badan hukum, bentuk badan usaha, dan alamat pelanggan, serta kesesuaiannya dengan akta pendirian, akta perubahan, dan dokumen pengesahan atau penerimaan pemberitahuan. NIB dan izin usaha yang relevan, jika diperlukan. Informasi risiko atau sengketa pelanggan yang dapat diverifikasi.</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Kewenangan Penandatangan Pelanggan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Identitas penandatangan pelanggan dan dasar kewenangannya, termasuk surat kuasa atau dasar kewenangan lain jika relevan.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C2: Ruang Lingkup dan Pelaksanaan</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Ruang Lingkup Layanan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Kejelasan layanan, barang, atau pekerjaan yang dikontrakkan serta tanggung jawab tiap pihak. Kesesuaian jenis layanan dengan kegiatan usaha dan perizinan SINUX di SNX-LEG-REG-01 (USULAN).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Spesifikasi dan Keluaran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Kejelasan spesifikasi dan deliverable yang dijanjikan kepada pelanggan.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C2.3</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Standar Layanan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SLA, sanksi atau denda jika SLA tidak tercapai, dan kompensasi atau service credit. Kesesuaian target SLA dengan SNX-OPS-SOP-05 (USULAN).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C2.4</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Tumpang Tindih dengan Kontrak Lain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Potensi tumpang tindih wilayah, produk, atau pihak dengan kontrak lain.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C3: Harga dan Pembayaran</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Nilai Kontrak</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Harga dan nilai kontrak sesuai kesepakatan komersial yang dikonfirmasi PIC Internal.</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Mekanisme Pembayaran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Jadwal pembayaran, invoice, dan kondisi pembayaran, termasuk apakah pembayaran bergantung pada pembayaran klien akhir.</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C3.3</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Pajak</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Pengaturan pajak atas harga dan nilai kontrak.</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C3.4</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Biaya Tambahan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Biaya di luar harga kontrak dan syarat pengenaannya.</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C4: Hak, Kewajiban, dan Risiko Hukum</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dan Kewajiban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Pembagian kewajiban para pihak dan cara pemenuhannya. Keadaan ingkar janji (wanprestasi), masa perbaikan, dan akibatnya.</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Ganti Rugi</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Ketentuan ganti rugi dan pengecualian yang relevan.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C4.3</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Pembatasan Tanggung Jawab</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Apakah tanggung jawab SINUX dibatasi dan proporsional, beserta pengecualian yang relevan.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C4.4</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Kahar</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Keadaan kahar (force majeure), kewajiban pemberitahuan, dan akibat hukumnya.</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C4.5</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Penangguhan Pembayaran atau Layanan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Hak penangguhan pembayaran atau layanan.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C5: Data, Kerahasiaan, dan Kekayaan Intelektual</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Cakupan informasi rahasia, pengecualian, dan kewajiban setelah kontrak berakhir. Tingkat klasifikasi informasi pelanggan menurut SNX-ISMS-PRO-01 (USULAN).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Jika kontrak melibatkan data pribadi: dasar dan tujuan pemrosesan, peran para pihak (pengendali atau prosesor), kewajiban keamanan, dan notifikasi insiden (SNX-LEG-SOP-01 butir 4.21).</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C5.3</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Kekayaan Intelektual</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Kepemilikan, lisensi, penggunaan, dan hasil pekerjaan. Kekayaan intelektual yang didaftarkan atas nama pihak lain.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C5.4</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Keamanan Informasi</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Kontrol yang dipersyaratkan, akses, pelaporan insiden, dan tanggung jawab pihak terkait. Kesesuaian kewajiban notifikasi insiden kepada pelanggan dengan SNX-ISMS-SOP-01 (USULAN).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C6: Jangka Waktu dan Pengakhiran</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C6.1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Jangka Waktu</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Tanggal efektif, durasi, perpanjangan, dan batas pemberitahuan.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C6.2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Pengakhiran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Dasar, prosedur, akibat, dan kewajiban setelah pengakhiran, serta apakah mekanisme pengakhirannya memadai.</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C7: Penyelesaian Sengketa dan Ketentuan Umum</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C7.1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Hukum yang Berlaku</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Hukum yang berlaku atas kontrak.</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C7.2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Penyelesaian Sengketa</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Forum dan mekanisme penyelesaian sengketa.</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C7.3</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Konsistensi Dokumen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Kesesuaian kontrak dengan lampiran, addendum, kontrak terkait, dan dokumen transaksi lainnya.</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C8: Persetujuan dan Penandatanganan</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C8.1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Persetujuan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internal yang wajib ada sebelum penandatanganan: bisnis, keuangan, keamanan informasi, dan Pejabat Berwenang menurut DoA. Persetujuan Legal tidak menggantikannya (SNX-LEG-SOP-02 butir 4.2).</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C8.2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Kewenangan Penandatanganan SINUX</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Dasar kewenangan penandatangan SINUX: DoA, anggaran dasar, surat kuasa, atau dasar lain yang sah. Jika matriks DoA belum ada atau kewenangannya tidak jelas, Line Manager Legal meminta konfirmasi tertulis Pejabat Berwenang sebelum penandatanganan (SNX-LEG-SOP-02 butir 6.7).</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Ringkasan Hasil Penelaahan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Beri tanda ☒ pada kotak pilihan yang sesuai.</w:t>
      </w:r>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cantSplit/>
          <w:tblHeade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Tanda</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Hasil Penelaahan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terdapat temuan berdasarkan pemeriksaan yang dilakukan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Terdapat temuan yang harus ditindaklanjuti sebelum penandatanganan.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Diperlukan pembahasan lebih lanjut dengan Unit Kerja Terkait.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Temuan Utama dan Risiko</w:t>
      </w:r>
      <w:r w:rsidR="00000000"/>
    </w:p>
    <w:tbl>
      <w:tblPr>
        <w:tblStyle w:val="a4"/>
        <w:tblW w:w="9528" w:type="dxa"/>
        <w:jc w:val="center"/>
        <w:tblInd w:w="0" w:type="dxa"/>
        <w:tblLayout w:type="fixed"/>
        <w:tblLook w:val="0400" w:firstRow="0" w:lastRow="0" w:firstColumn="0" w:lastColumn="0" w:noHBand="0" w:noVBand="1"/>
      </w:tblPr>
      <w:tblGrid>
        <w:gridCol w:w="567"/>
        <w:gridCol w:w="907"/>
        <w:gridCol w:w="1871"/>
        <w:gridCol w:w="1020"/>
        <w:gridCol w:w="1077"/>
        <w:gridCol w:w="1984"/>
        <w:gridCol w:w="164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90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Temuan dan Risiko</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Jenis Risiko</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Tingkat Risiko</w:t>
            </w:r>
          </w:p>
        </w:tc>
        <w:tc>
          <w:tcPr>
            <w:tcW w:w="198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Perubahan atau Tindak Lanjut</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Pihak dan Target Selesai</w:t>
            </w:r>
          </w:p>
        </w:tc>
      </w:tr>
      <w:tr w:rsidR="00330634" w14:paraId="359B4680" w14:textId="77777777">
        <w:trPr>
          <w:cantSplit/>
          <w:jc w:val="center"/>
          <w:trHeight w:val="680"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90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90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90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90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Rekomendasi</w:t>
      </w:r>
      <w:r w:rsidR="00000000"/>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cantSplit/>
          <w:tblHeade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Tanda</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Rekomendasi</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Dapat dilanjutkan ke tahap persetujuan dan penandatanganan.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Dapat dilanjutkan setelah tindak lanjut yang disyaratkan diselesaikan dan diverifikasi.</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direkomendasikan untuk ditandatangani karena terdapat risiko atau isu material yang belum diselesaikan.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Height w:val="1417" w:hRule="atLeast"/>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Dasar rekomendasi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Catatan Penelaahan dan Persetujuan</w:t>
      </w:r>
      <w:r w:rsidR="00000000"/>
    </w:p>
    <w:tbl>
      <w:tblPr>
        <w:tblStyle w:val="a4"/>
        <w:tblW w:w="9528" w:type="dxa"/>
        <w:jc w:val="center"/>
        <w:tblInd w:w="0" w:type="dxa"/>
        <w:tblLayout w:type="fixed"/>
        <w:tblLook w:val="0400" w:firstRow="0" w:lastRow="0" w:firstColumn="0" w:lastColumn="0" w:noHBand="0" w:noVBand="1"/>
      </w:tblPr>
      <w:tblGrid>
        <w:gridCol w:w="2041"/>
        <w:gridCol w:w="3402"/>
        <w:gridCol w:w="1701"/>
        <w:gridCol w:w="1927"/>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Tahapan</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Nama/Jabatan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Tanda Tangan</w:t>
            </w:r>
          </w:p>
        </w:tc>
      </w:tr>
      <w:tr w:rsidR="00330634" w14:paraId="359B4680" w14:textId="77777777">
        <w:trPr>
          <w:cantSplit/>
          <w:jc w:val="center"/>
          <w:trHeight w:val="680" w:hRule="atLeast"/>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Lokasi Penyimpanan Dokumen</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kontrak yang ditelaah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hasil penelaahan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korespondensi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11"/>
        <w:gridCol w:w="6860"/>
      </w:tblGrid>
      <w:tr w:rsidR="00330634" w14:paraId="6C606F6C" w14:textId="77777777">
        <w:trPr>
          <w:cantSplit/>
          <w:tblHeader/>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6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Butir 4.21 mengatur review data pribadi pada kontrak; butir 4.24 memuat usulan repositori dokumen legal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Prosedur induk yang mencantumkan SNX-LEG-FRM-01 sebagai checklist review kontrak pelanggan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Form terisi masuk Kategori 4; kontrak dan korespondensi masuk Kategori 1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Daftar periksa untuk kontrak vendor dan pemasok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Review data pribadi dan kerahasiaan di luar aspek C5.1 dan C5.2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Acuan kegiatan usaha dan perizinan SINUX untuk aspek C2.1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Dasar klasifikasi RESTRICTED (Internal) dan klasifikasi informasi pelanggan.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SNX-ISMS-SOP-01</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Security Incident Management. Pembanding notifikasi insiden pada aspek C5.4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SNX-OPS-SOP-05</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(SLA) Monitoring. Pembanding target SLA pada aspek C2.3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Jabatan Legal &amp; Compliance JA-08 (Line Manager Legal) dan JA-09 (Staff Legal).</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Matriks DoA, acuan aspek C8.1 dan C8.2. Belum terbit.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268"/>
        <w:gridCol w:w="4819"/>
        <w:gridCol w:w="198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481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198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Masa Simpan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 terisi per kontrak pelanggan</w:t>
            </w:r>
          </w:p>
        </w:tc>
        <w:tc>
          <w:tcPr>
            <w:tcW w:w="481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bersama berkas kontrak; klasifikasi RESTRICTED (Internal). Pencatat: Staff Legal. Pemilik: Line Manager Legal (USULAN, SNX-LEG-SOP-02 butir 4.19 dan SNX-LEG-SOP-03).</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Kategori 4 di SNX-LEG-SOP-03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yang ditelaah dan korespondensi</w:t>
            </w:r>
          </w:p>
        </w:tc>
        <w:tc>
          <w:tcPr>
            <w:tcW w:w="481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Sesuai tabel Lokasi Penyimpanan Dokumen. Pencatat: Staff Legal. Pemilik: Line Manager Legal (USULAN).</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Kategori 1 di SNX-LEG-SOP-03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Pemetaan 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1814"/>
        <w:gridCol w:w="3288"/>
        <w:gridCol w:w="3969"/>
      </w:tblGrid>
      <w:tr w:rsidR="00330634" w14:paraId="6C606F6C" w14:textId="77777777">
        <w:trPr>
          <w:cantSplit/>
          <w:tblHeade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28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form ini</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8.2.3 Peninjauan persyaratan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Kontrak pelanggan ditelaah dengan Daftar Periksa sebelum SINUX menandatanganinya.</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8.2.4 Perubahan persyaratan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Kontrak yang berubah material ditelaah ulang dengan form baru.</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Form terisi disimpan dengan lokasi, pemilik, dan klasifikasi yang tercatat.</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Ketentuan kontrak diperiksa terhadap hukum yang berlaku dan persyaratan kontraktual.</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5.32 Hak kekayaan intelektual</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C5.3 memeriksa kekayaan intelektual dalam kontrak.</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C5.2 memeriksa ketentuan data pribadi dalam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baru berlaku setelah Direktur Utama menandatangani blok Approval. Line Manager Legal meninjau form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