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FINANCE, ACCOUNTING &amp; TAX</w:t>
      </w:r>
      <w:r>
        <w:rPr>
          <w:b/>
          <w:bCs/>
          <w:sz w:val="32"/>
          <w:szCs w:val="32"/>
        </w:rPr>
        <w:br/>
      </w:r>
      <w:r w:rsidR="00AA0D9D">
        <w:rPr>
          <w:b/>
          <w:bCs/>
          <w:sz w:val="32"/>
          <w:szCs w:val="32"/>
        </w:rPr>
        <w:t xml:space="preserve">Accounting and Financial Report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SNX-FAT-SOP-06</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SOP Accounting and Financial Report</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SNX-FAT-SOP-06</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Finance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Input jurnal</w:t>
            <w:br/>
            <w:t xml:space="preserve">6.2 Kategorisasi dan pengelolaan CoA</w:t>
            <w:br/>
            <w:t xml:space="preserve">6.3 Rekonsiliasi bank</w:t>
            <w:br/>
            <w:t xml:space="preserve">6.4 Review dan jurnal penyesuaian</w:t>
            <w:br/>
            <w:t xml:space="preserve">6.5 Tutup buku bulanan dan penyusunan Laporan Keuangan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proses akuntansi di SINUX dari pencatatan jurnal sampai penyusunan Laporan Keuangan.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kesalahan input dan selisih pada Buku Besar dan Neraca berkurang, tutup buku selesai tepat waktu, dan Laporan Keuangan valid, akuntabel, serta siap diaudit untuk Manajemen, Pemegang Saham, Pihak Bank, Panitia Tender BUMN, dan DJP.</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siklus akuntansi SINUX, dari terjadinya transaksi sampai terbitnya Laporan Keuangan. Yang tercakup: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Data master akuntansi: pengelolaan dan pembaruan CoA.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Pencatatan transaksi: jurnal penerimaan dan pengeluaran kas dan bank; pengakuan pendapatan dan piutang usaha; pembelian, biaya operasional, dan utang usaha.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Aset tetap dan aset tak berwujud: pencatatan di Fixed Asset Register, kapitalisasi, perhitungan penyusutan aset fisik seperti server dan kendaraan, serta amortisasi software dan lisensi.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Tutup buku bulanan dan tahunan: rekonsiliasi bank; jurnal penyesuaian (accrual, prepaid expense, deferred revenue); ekualisasi akun komersial dengan akun perpajakan (PPN, PPh 21, PPh 22, dan lainnya).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Keuangan: Laporan Posisi Keuangan (Neraca), Laporan Laba Rugi, Laporan Arus Kas, dan Laporan Perubahan Ekuitas.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(USULAN): penerbitan invoice kepada customer (SNX-FAT-SOP-01); penagihan invoice dan pendataan piutang (SOP Account Receivable &amp; Collection); persetujuan pengajuan pembayaran (SOP Payment and Disbursement Approval); perhitungan, penyetoran, dan pelaporan pajak (SNX-FAT-SOP-05); pengarsipan dokumen keuangan (SNX-FAT-SOP-04).</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Accrual</w:t>
            </w:r>
          </w:p>
        </w:tc>
        <w:tc>
          <w:tcPr>
            <w:tcW w:w="6803" w:type="dxa"/>
            <w:vAlign w:val="center"/>
          </w:tcPr>
          <w:p w14:paraId="6E842649" w14:textId="12DD9EBE" w:rsidR="00330634" w:rsidRDefault="00330634">
            <w:pPr>
              <w:rPr>
                <w:sz w:val="24"/>
                <w:szCs w:val="24"/>
              </w:rPr>
            </w:pPr>
            <w:r>
              <w:rPr>
                <w:b w:val="0"/>
                <w:sz w:val="24"/>
                <w:szCs w:val="24"/>
              </w:rPr>
              <w:t>Beban atau pendapatan yang sudah terjadi tetapi belum dibayar atau diterima.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Accrual basis</w:t>
            </w:r>
          </w:p>
        </w:tc>
        <w:tc>
          <w:tcPr>
            <w:tcW w:w="6803" w:type="dxa"/>
            <w:vAlign w:val="center"/>
          </w:tcPr>
          <w:p w14:paraId="6E842649" w14:textId="12DD9EBE" w:rsidR="00330634" w:rsidRDefault="00330634">
            <w:pPr>
              <w:rPr>
                <w:sz w:val="24"/>
                <w:szCs w:val="24"/>
              </w:rPr>
            </w:pPr>
            <w:r>
              <w:rPr>
                <w:b w:val="0"/>
                <w:sz w:val="24"/>
                <w:szCs w:val="24"/>
              </w:rPr>
              <w:t>Dasar pencatatan yang mengakui pendapatan dan beban saat transaksinya terjadi, bukan saat kas diterima atau dibayar.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Bank statement</w:t>
            </w:r>
          </w:p>
        </w:tc>
        <w:tc>
          <w:tcPr>
            <w:tcW w:w="6803" w:type="dxa"/>
            <w:vAlign w:val="center"/>
          </w:tcPr>
          <w:p w14:paraId="6E842649" w14:textId="12DD9EBE" w:rsidR="00330634" w:rsidRDefault="00330634">
            <w:pPr>
              <w:rPr>
                <w:sz w:val="24"/>
                <w:szCs w:val="24"/>
              </w:rPr>
            </w:pPr>
            <w:r>
              <w:rPr>
                <w:b w:val="0"/>
                <w:sz w:val="24"/>
                <w:szCs w:val="24"/>
              </w:rPr>
              <w:t>Laporan mutasi rekening dari bank.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BUMN</w:t>
            </w:r>
          </w:p>
        </w:tc>
        <w:tc>
          <w:tcPr>
            <w:tcW w:w="6803" w:type="dxa"/>
            <w:vAlign w:val="center"/>
          </w:tcPr>
          <w:p w14:paraId="6E842649" w14:textId="12DD9EBE" w:rsidR="00330634" w:rsidRDefault="00330634">
            <w:pPr>
              <w:rPr>
                <w:sz w:val="24"/>
                <w:szCs w:val="24"/>
              </w:rPr>
            </w:pPr>
            <w:r>
              <w:rPr>
                <w:b w:val="0"/>
                <w:sz w:val="24"/>
                <w:szCs w:val="24"/>
              </w:rPr>
              <w:t>Badan Usaha Milik Negara.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Buku Besar</w:t>
            </w:r>
          </w:p>
        </w:tc>
        <w:tc>
          <w:tcPr>
            <w:tcW w:w="6803" w:type="dxa"/>
            <w:vAlign w:val="center"/>
          </w:tcPr>
          <w:p w14:paraId="6E842649" w14:textId="12DD9EBE" w:rsidR="00330634" w:rsidRDefault="00330634">
            <w:pPr>
              <w:rPr>
                <w:sz w:val="24"/>
                <w:szCs w:val="24"/>
              </w:rPr>
            </w:pPr>
            <w:r>
              <w:rPr>
                <w:b w:val="0"/>
                <w:sz w:val="24"/>
                <w:szCs w:val="24"/>
              </w:rPr>
              <w:t>Kumpulan seluruh akun CoA beserta saldonya.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Chart of Accounts (CoA)</w:t>
            </w:r>
          </w:p>
        </w:tc>
        <w:tc>
          <w:tcPr>
            <w:tcW w:w="6803" w:type="dxa"/>
            <w:vAlign w:val="center"/>
          </w:tcPr>
          <w:p w14:paraId="6E842649" w14:textId="12DD9EBE" w:rsidR="00330634" w:rsidRDefault="00330634">
            <w:pPr>
              <w:rPr>
                <w:sz w:val="24"/>
                <w:szCs w:val="24"/>
              </w:rPr>
            </w:pPr>
            <w:r>
              <w:rPr>
                <w:b w:val="0"/>
                <w:sz w:val="24"/>
                <w:szCs w:val="24"/>
              </w:rPr>
              <w:t>Daftar akun yang dipakai SINUX untuk mencatat transaksi keuangan.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Deferred revenue</w:t>
            </w:r>
          </w:p>
        </w:tc>
        <w:tc>
          <w:tcPr>
            <w:tcW w:w="6803" w:type="dxa"/>
            <w:vAlign w:val="center"/>
          </w:tcPr>
          <w:p w14:paraId="6E842649" w14:textId="12DD9EBE" w:rsidR="00330634" w:rsidRDefault="00330634">
            <w:pPr>
              <w:rPr>
                <w:sz w:val="24"/>
                <w:szCs w:val="24"/>
              </w:rPr>
            </w:pPr>
            <w:r>
              <w:rPr>
                <w:b w:val="0"/>
                <w:sz w:val="24"/>
                <w:szCs w:val="24"/>
              </w:rPr>
              <w:t>Pendapatan yang sudah diterima untuk jasa yang belum diserahkan.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DJP</w:t>
            </w:r>
          </w:p>
        </w:tc>
        <w:tc>
          <w:tcPr>
            <w:tcW w:w="6803" w:type="dxa"/>
            <w:vAlign w:val="center"/>
          </w:tcPr>
          <w:p w14:paraId="6E842649" w14:textId="12DD9EBE" w:rsidR="00330634" w:rsidRDefault="00330634">
            <w:pPr>
              <w:rPr>
                <w:sz w:val="24"/>
                <w:szCs w:val="24"/>
              </w:rPr>
            </w:pPr>
            <w:r>
              <w:rPr>
                <w:b w:val="0"/>
                <w:sz w:val="24"/>
                <w:szCs w:val="24"/>
              </w:rPr>
              <w:t>Direktorat Jenderal Pajak.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Ekualisasi</w:t>
            </w:r>
          </w:p>
        </w:tc>
        <w:tc>
          <w:tcPr>
            <w:tcW w:w="6803" w:type="dxa"/>
            <w:vAlign w:val="center"/>
          </w:tcPr>
          <w:p w14:paraId="6E842649" w14:textId="12DD9EBE" w:rsidR="00330634" w:rsidRDefault="00330634">
            <w:pPr>
              <w:rPr>
                <w:sz w:val="24"/>
                <w:szCs w:val="24"/>
              </w:rPr>
            </w:pPr>
            <w:r>
              <w:rPr>
                <w:b w:val="0"/>
                <w:sz w:val="24"/>
                <w:szCs w:val="24"/>
              </w:rPr>
              <w:t>Pencocokan angka akun komersial dengan angka akun perpajakan.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Fixed Asset Register</w:t>
            </w:r>
          </w:p>
        </w:tc>
        <w:tc>
          <w:tcPr>
            <w:tcW w:w="6803" w:type="dxa"/>
            <w:vAlign w:val="center"/>
          </w:tcPr>
          <w:p w14:paraId="6E842649" w14:textId="12DD9EBE" w:rsidR="00330634" w:rsidRDefault="00330634">
            <w:pPr>
              <w:rPr>
                <w:sz w:val="24"/>
                <w:szCs w:val="24"/>
              </w:rPr>
            </w:pPr>
            <w:r>
              <w:rPr>
                <w:b w:val="0"/>
                <w:sz w:val="24"/>
                <w:szCs w:val="24"/>
              </w:rPr>
              <w:t>Daftar aset tetap dan aset tak berwujud SINUX yang dikapitalisasi.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Hari</w:t>
            </w:r>
          </w:p>
        </w:tc>
        <w:tc>
          <w:tcPr>
            <w:tcW w:w="6803" w:type="dxa"/>
            <w:vAlign w:val="center"/>
          </w:tcPr>
          <w:p w14:paraId="6E842649" w14:textId="12DD9EBE" w:rsidR="00330634" w:rsidRDefault="00330634">
            <w:pPr>
              <w:rPr>
                <w:sz w:val="24"/>
                <w:szCs w:val="24"/>
              </w:rPr>
            </w:pPr>
            <w:r>
              <w:rPr>
                <w:b w:val="0"/>
                <w:sz w:val="24"/>
                <w:szCs w:val="24"/>
              </w:rPr>
              <w:t>Satuan batas waktu di bagian 8, dihitung sebagai hari kerja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Jurnal</w:t>
            </w:r>
          </w:p>
        </w:tc>
        <w:tc>
          <w:tcPr>
            <w:tcW w:w="6803" w:type="dxa"/>
            <w:vAlign w:val="center"/>
          </w:tcPr>
          <w:p w14:paraId="6E842649" w14:textId="12DD9EBE" w:rsidR="00330634" w:rsidRDefault="00330634">
            <w:pPr>
              <w:rPr>
                <w:sz w:val="24"/>
                <w:szCs w:val="24"/>
              </w:rPr>
            </w:pPr>
            <w:r>
              <w:rPr>
                <w:b w:val="0"/>
                <w:sz w:val="24"/>
                <w:szCs w:val="24"/>
              </w:rPr>
              <w:t>Catatan satu transaksi keuangan pada akun CoA.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Jurnal penyesuaian</w:t>
            </w:r>
          </w:p>
        </w:tc>
        <w:tc>
          <w:tcPr>
            <w:tcW w:w="6803" w:type="dxa"/>
            <w:vAlign w:val="center"/>
          </w:tcPr>
          <w:p w14:paraId="6E842649" w14:textId="12DD9EBE" w:rsidR="00330634" w:rsidRDefault="00330634">
            <w:pPr>
              <w:rPr>
                <w:sz w:val="24"/>
                <w:szCs w:val="24"/>
              </w:rPr>
            </w:pPr>
            <w:r>
              <w:rPr>
                <w:b w:val="0"/>
                <w:sz w:val="24"/>
                <w:szCs w:val="24"/>
              </w:rPr>
              <w:t>Jurnal akhir periode untuk accrual, prepaid expense, dan deferred revenue.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Jurnal reklasifikasi</w:t>
            </w:r>
          </w:p>
        </w:tc>
        <w:tc>
          <w:tcPr>
            <w:tcW w:w="6803" w:type="dxa"/>
            <w:vAlign w:val="center"/>
          </w:tcPr>
          <w:p w14:paraId="6E842649" w14:textId="12DD9EBE" w:rsidR="00330634" w:rsidRDefault="00330634">
            <w:pPr>
              <w:rPr>
                <w:sz w:val="24"/>
                <w:szCs w:val="24"/>
              </w:rPr>
            </w:pPr>
            <w:r>
              <w:rPr>
                <w:b w:val="0"/>
                <w:sz w:val="24"/>
                <w:szCs w:val="24"/>
              </w:rPr>
              <w:t>Jurnal yang memindahkan nilai transaksi yang sudah tercatat ke akun CoA lain.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Laporan Keuangan</w:t>
            </w:r>
          </w:p>
        </w:tc>
        <w:tc>
          <w:tcPr>
            <w:tcW w:w="6803" w:type="dxa"/>
            <w:vAlign w:val="center"/>
          </w:tcPr>
          <w:p w14:paraId="6E842649" w14:textId="12DD9EBE" w:rsidR="00330634" w:rsidRDefault="00330634">
            <w:pPr>
              <w:rPr>
                <w:sz w:val="24"/>
                <w:szCs w:val="24"/>
              </w:rPr>
            </w:pPr>
            <w:r>
              <w:rPr>
                <w:b w:val="0"/>
                <w:sz w:val="24"/>
                <w:szCs w:val="24"/>
              </w:rPr>
              <w:t>Laporan Posisi Keuangan (Neraca), Laporan Laba Rugi, Laporan Arus Kas, dan Laporan Perubahan Ekuitas.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Piutang usaha</w:t>
            </w:r>
          </w:p>
        </w:tc>
        <w:tc>
          <w:tcPr>
            <w:tcW w:w="6803" w:type="dxa"/>
            <w:vAlign w:val="center"/>
          </w:tcPr>
          <w:p w14:paraId="6E842649" w14:textId="12DD9EBE" w:rsidR="00330634" w:rsidRDefault="00330634">
            <w:pPr>
              <w:rPr>
                <w:sz w:val="24"/>
                <w:szCs w:val="24"/>
              </w:rPr>
            </w:pPr>
            <w:r>
              <w:rPr>
                <w:b w:val="0"/>
                <w:sz w:val="24"/>
                <w:szCs w:val="24"/>
              </w:rPr>
              <w:t>Hak tagih SINUX kepada customer atas penjualan jasa secara kredit.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PPh</w:t>
            </w:r>
          </w:p>
        </w:tc>
        <w:tc>
          <w:tcPr>
            <w:tcW w:w="6803" w:type="dxa"/>
            <w:vAlign w:val="center"/>
          </w:tcPr>
          <w:p w14:paraId="6E842649" w14:textId="12DD9EBE" w:rsidR="00330634" w:rsidRDefault="00330634">
            <w:pPr>
              <w:rPr>
                <w:sz w:val="24"/>
                <w:szCs w:val="24"/>
              </w:rPr>
            </w:pPr>
            <w:r>
              <w:rPr>
                <w:b w:val="0"/>
                <w:sz w:val="24"/>
                <w:szCs w:val="24"/>
              </w:rPr>
              <w:t>Pajak Penghasilan.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PPN</w:t>
            </w:r>
          </w:p>
        </w:tc>
        <w:tc>
          <w:tcPr>
            <w:tcW w:w="6803" w:type="dxa"/>
            <w:vAlign w:val="center"/>
          </w:tcPr>
          <w:p w14:paraId="6E842649" w14:textId="12DD9EBE" w:rsidR="00330634" w:rsidRDefault="00330634">
            <w:pPr>
              <w:rPr>
                <w:sz w:val="24"/>
                <w:szCs w:val="24"/>
              </w:rPr>
            </w:pPr>
            <w:r>
              <w:rPr>
                <w:b w:val="0"/>
                <w:sz w:val="24"/>
                <w:szCs w:val="24"/>
              </w:rPr>
              <w:t>Pajak Pertambahan Nilai.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Prepaid expense</w:t>
            </w:r>
          </w:p>
        </w:tc>
        <w:tc>
          <w:tcPr>
            <w:tcW w:w="6803" w:type="dxa"/>
            <w:vAlign w:val="center"/>
          </w:tcPr>
          <w:p w14:paraId="6E842649" w14:textId="12DD9EBE" w:rsidR="00330634" w:rsidRDefault="00330634">
            <w:pPr>
              <w:rPr>
                <w:sz w:val="24"/>
                <w:szCs w:val="24"/>
              </w:rPr>
            </w:pPr>
            <w:r>
              <w:rPr>
                <w:b w:val="0"/>
                <w:sz w:val="24"/>
                <w:szCs w:val="24"/>
              </w:rPr>
              <w:t>Biaya yang sudah dibayar untuk periode berikutnya.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Rekonsiliasi bank</w:t>
            </w:r>
          </w:p>
        </w:tc>
        <w:tc>
          <w:tcPr>
            <w:tcW w:w="6803" w:type="dxa"/>
            <w:vAlign w:val="center"/>
          </w:tcPr>
          <w:p w14:paraId="6E842649" w14:textId="12DD9EBE" w:rsidR="00330634" w:rsidRDefault="00330634">
            <w:pPr>
              <w:rPr>
                <w:sz w:val="24"/>
                <w:szCs w:val="24"/>
              </w:rPr>
            </w:pPr>
            <w:r>
              <w:rPr>
                <w:b w:val="0"/>
                <w:sz w:val="24"/>
                <w:szCs w:val="24"/>
              </w:rPr>
              <w:t>Pencocokan jurnal kas dan bank dengan bank statement.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SAK</w:t>
            </w:r>
          </w:p>
        </w:tc>
        <w:tc>
          <w:tcPr>
            <w:tcW w:w="6803" w:type="dxa"/>
            <w:vAlign w:val="center"/>
          </w:tcPr>
          <w:p w14:paraId="6E842649" w14:textId="12DD9EBE" w:rsidR="00330634" w:rsidRDefault="00330634">
            <w:pPr>
              <w:rPr>
                <w:sz w:val="24"/>
                <w:szCs w:val="24"/>
              </w:rPr>
            </w:pPr>
            <w:r>
              <w:rPr>
                <w:b w:val="0"/>
                <w:sz w:val="24"/>
                <w:szCs w:val="24"/>
              </w:rPr>
              <w:t>Standar Akuntansi Keuangan.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Tutup buku</w:t>
            </w:r>
          </w:p>
        </w:tc>
        <w:tc>
          <w:tcPr>
            <w:tcW w:w="6803" w:type="dxa"/>
            <w:vAlign w:val="center"/>
          </w:tcPr>
          <w:p w14:paraId="6E842649" w14:textId="12DD9EBE" w:rsidR="00330634" w:rsidRDefault="00330634">
            <w:pPr>
              <w:rPr>
                <w:sz w:val="24"/>
                <w:szCs w:val="24"/>
              </w:rPr>
            </w:pPr>
            <w:r>
              <w:rPr>
                <w:b w:val="0"/>
                <w:sz w:val="24"/>
                <w:szCs w:val="24"/>
              </w:rPr>
              <w:t>Penutupan pencatatan akuntansi satu periode: bulanan (month-end closing) atau tahunan (year-end closing).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Utang usaha</w:t>
            </w:r>
          </w:p>
        </w:tc>
        <w:tc>
          <w:tcPr>
            <w:tcW w:w="6803" w:type="dxa"/>
            <w:vAlign w:val="center"/>
          </w:tcPr>
          <w:p w14:paraId="6E842649" w14:textId="12DD9EBE" w:rsidR="00330634" w:rsidRDefault="00330634">
            <w:pPr>
              <w:rPr>
                <w:sz w:val="24"/>
                <w:szCs w:val="24"/>
              </w:rPr>
            </w:pPr>
            <w:r>
              <w:rPr>
                <w:b w:val="0"/>
                <w:sz w:val="24"/>
                <w:szCs w:val="24"/>
              </w:rPr>
              <w:t>Kewajiban bayar SINUX kepada vendor atas pembelian secara kredit.</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Dasar pencatatan: Finance Staff dan Finance Lead mencatat transaksi dengan accrual basis dan menyajikan Laporan Keuangan sesuai SAK yang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Pencatatan pada CoA (ISO 9001:2015 8.1): Finance Staff mencatat setiap transaksi keuangan pada akun CoA yang sesuai, dengan nominal aktual, supaya Buku Besar dan Neraca tidak berselisih (butir 6.1 dan 6.2).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Jadwal (ISO 9001:2015 8.1): Finance Staff menginput jurnal dan merekonsiliasi bank setiap minggu, dan Finance Lead melakukan tutup buku setiap bulan. Batas waktu tiap tahap ada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Pemisahan tugas dan review (ISO 9001:2015 5.3 dan Annex A 5.3): Finance Lead mereview jurnal dan rekonsiliasi bank yang dikerjakan Finance Staff sebelum tutup buku bulanan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Jurnal penyesuaian: Finance Lead mencatat jurnal penyesuaian di akhir periode atas beban gaji yang masih harus dibayar, penyusutan aset tetap (server dan hardware), amortisasi software, serta utang dan piutang pajak (butir 6.4,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Cakupan tanpa langkah rinci: bagian 6 belum memuat langkah untuk tutup buku tahunan, ekualisasi akun komersial dengan akun perpajakan, dan pencatatan aset tetap beserta penyusutannya. Finance Lead menetapkan langkah, pelaku, dan batas waktunya sebelum SOP ini disahkan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Rekaman (ISO 9001:2015 7.5.3 dan Annex A 5.33): Finance Lead mengarsipkan Laporan Keuangan menurut SNX-FAT-SOP-04 (USULAN). Lokasi, pemilik, dan retensi tiap rekaman ada di tabel bagian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Akses (Annex A 5.15): Finance Lead mencatat pemegang akses ke data akuntansi di SNX-FAT-FRM-02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Klasifikasi (Annex A 5.12): rekaman di bagian 11 berklasifikasi RESTRICTED (Internal) menurut SNX-ISMS-PRO-01 (USULAN).</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Mereview jurnal dan rekonsiliasi bank, mencatat jurnal penyesuaian dan jurnal reklasifikasi (USULAN), melakukan tutup buku bulanan, dan menyusun Laporan Keuangan (butir 6.4 dan 6.5). Belum dipetakan ke jabatan di SNX-HR-ORG-01 (butir K-13).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Review atas pekerjaan Finance Staff (butir 4.4); batas wewenang keuangan lain mengikuti delegasi tertulis yang berlaku (SNX-HR-ORG-01).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Staff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Menginput jurnal, mengklasifikasi transaksi pada CoA, mengelola CoA, dan merekonsiliasi bank (butir 6.1 sampai 6.3). Belum dipetakan ke jabatan di SNX-HR-ORG-01 (butir K-13).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Mencatat jurnal dan rekonsiliasi bank; tutup buku bulanan dan penyusunan Laporan Keuangan ada pada Finance Lead (butir 6.5).</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Input jurnal</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Input jurnal atas transaksi kas dan bank, pendapatan dan piutang usaha, serta pembelian, biaya operasional, dan utang usaha.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Jurnal transaksi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Kategorisasi dan pengelolaan CoA</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Klasifikasikan tiap transaksi pada akun CoA yang sesuai.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Jurnal yang terklasifikasi pada akun CoA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Kelola dan perbarui CoA.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CoA yang diperbarui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Rekonsiliasi bank</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Rekonsiliasi jurnal kas dan bank dengan bank statement.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Rekonsiliasi bank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Review dan jurnal penyesuaian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Review jurnal yang diinput Finance Staff.</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jurnal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Review rekonsiliasi bank terhadap bank statement.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rekonsiliasi bank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jurnal penyesuaian dan jurnal reklasifikasi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Jurnal penyesuaian dan jurnal reklasifikasi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Tutup buku bulanan dan penyusunan Laporan Keuangan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Lakukan tutup buku bulanan.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Periode akuntansi bulan itu tertutup</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Laporan Keuangan dari hasil tutup buku bulanan.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Keuangan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2954052" cy="6840000"/>
            <wp:docPr id="1" name="Picture 1"/>
            <wp:cNvGraphicFramePr>
              <a:graphicFrameLocks noChangeAspect="1"/>
            </wp:cNvGraphicFramePr>
            <a:graphic>
              <a:graphicData uri="http://schemas.openxmlformats.org/drawingml/2006/picture">
                <pic:pic>
                  <pic:nvPicPr>
                    <pic:cNvPr id="0" name="FAT-SOP-06_flow.png"/>
                    <pic:cNvPicPr/>
                  </pic:nvPicPr>
                  <pic:blipFill>
                    <a:blip r:embed="rId11"/>
                    <a:stretch>
                      <a:fillRect/>
                    </a:stretch>
                  </pic:blipFill>
                  <pic:spPr>
                    <a:xfrm>
                      <a:off x="0" y="0"/>
                      <a:ext cx="2954052"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proses akuntansi dari input jurnal sampai penyusunan Laporan Keuangan.</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Input jurnal (butir 6.1)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 setiap awal minggu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Kategorisasi dan pengelolaan CoA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Rekonsiliasi bank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setiap awal minggu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dan jurnal penyesuaian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Tutup buku bulanan dan penyusunan Laporan Keuangan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Transaksi tercatat pada akun CoA yang salah dan ditemukan saat review (butir 6.4)</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Lead mencatat jurnal reklasifikasi (langkah 3 butir 6.4).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Selisih pada jurnal atau rekonsiliasi bank belum bisa dijelaskan saat review (butir 6.4)</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Lead mengembalikan jurnal atau rekonsiliasi itu ke Finance Staff untuk ditelusuri sebelum tutup buku bulanan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selaku pemilik SOP memeriksa kepatuhan terhadap SOP ini dengan membandingkan rekaman di bagian 11 dengan batas waktu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SNX-FAT-SOP-01</w:t>
            </w:r>
          </w:p>
        </w:tc>
        <w:tc>
          <w:tcPr>
            <w:tcW w:w="6803" w:type="dxa"/>
            <w:vAlign w:val="center"/>
          </w:tcPr>
          <w:p w14:paraId="6E842649" w14:textId="12DD9EBE" w:rsidR="00330634" w:rsidRDefault="00330634">
            <w:pPr>
              <w:rPr>
                <w:sz w:val="24"/>
                <w:szCs w:val="24"/>
              </w:rPr>
            </w:pPr>
            <w:r>
              <w:rPr>
                <w:b w:val="0"/>
                <w:sz w:val="24"/>
                <w:szCs w:val="24"/>
              </w:rPr>
              <w:t>SOP Billing &amp; Invoicing; penerbitan invoice kepada customer,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SNX-FAT-SOP-04</w:t>
            </w:r>
          </w:p>
        </w:tc>
        <w:tc>
          <w:tcPr>
            <w:tcW w:w="6803" w:type="dxa"/>
            <w:vAlign w:val="center"/>
          </w:tcPr>
          <w:p w14:paraId="6E842649" w14:textId="12DD9EBE" w:rsidR="00330634" w:rsidRDefault="00330634">
            <w:pPr>
              <w:rPr>
                <w:sz w:val="24"/>
                <w:szCs w:val="24"/>
              </w:rPr>
            </w:pPr>
            <w:r>
              <w:rPr>
                <w:b w:val="0"/>
                <w:sz w:val="24"/>
                <w:szCs w:val="24"/>
              </w:rPr>
              <w:t>SOP Financial Document Control &amp; Retention; pengarsipan dokumen keuangan, termasuk Laporan Keuangan (butir 4.7,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SNX-FAT-SOP-05</w:t>
            </w:r>
          </w:p>
        </w:tc>
        <w:tc>
          <w:tcPr>
            <w:tcW w:w="6803" w:type="dxa"/>
            <w:vAlign w:val="center"/>
          </w:tcPr>
          <w:p w14:paraId="6E842649" w14:textId="12DD9EBE" w:rsidR="00330634" w:rsidRDefault="00330634">
            <w:pPr>
              <w:rPr>
                <w:sz w:val="24"/>
                <w:szCs w:val="24"/>
              </w:rPr>
            </w:pPr>
            <w:r>
              <w:rPr>
                <w:b w:val="0"/>
                <w:sz w:val="24"/>
                <w:szCs w:val="24"/>
              </w:rPr>
              <w:t>Tax Administration &amp; Reporting; perhitungan, penyetoran, dan pelaporan pajak,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SNX-FAT-FRM-02</w:t>
            </w:r>
          </w:p>
        </w:tc>
        <w:tc>
          <w:tcPr>
            <w:tcW w:w="6803" w:type="dxa"/>
            <w:vAlign w:val="center"/>
          </w:tcPr>
          <w:p w14:paraId="6E842649" w14:textId="12DD9EBE" w:rsidR="00330634" w:rsidRDefault="00330634">
            <w:pPr>
              <w:rPr>
                <w:sz w:val="24"/>
                <w:szCs w:val="24"/>
              </w:rPr>
            </w:pPr>
            <w:r>
              <w:rPr>
                <w:b w:val="0"/>
                <w:sz w:val="24"/>
                <w:szCs w:val="24"/>
              </w:rPr>
              <w:t>Financial Information Access Authorization Records; daftar akses dan pemegang akses terhadap data dan informasi Finance, tempat pemegang akses data akuntansi dicatat (butir 4.8,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untuk dokumen ini dan rekaman di bagian 11.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jabatan dan matriks peran yang menjadi dasar nama peran di bagian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SOP Account Receivable &amp; Collection; dalam peninjauan; penagihan invoice kepada customer dan pendataan piutang, dikecualikan dari SOP ini (bagian 2,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SOP Payment and Disbursement Approval; dalam peninjauan; pengajuan pembayaran invoice, reimbursement, dan cash advance, dikecualikan dari SOP ini (bagian 2,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Jurnal transaksi dan CoA (butir 6.1 dan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pencatatan keuangan SINUX; nama sistem menunggu penetapan Finance Lead (USULAN). Pemilik: 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Rekonsiliasi bank dan bank statement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Pemilik: 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jurnal penyesuaian, dan jurnal reklasifikasi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pencatatan keuangan SINUX (USULAN). Pemilik: 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Keuangan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menurut SNX-FAT-SOP-04 (USULAN). Pemilik: 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Fixed Asset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dan pemilik menunggu penetapan Finance Lead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Menunggu penetapan Finance Lead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untuk butir 4.4 dan bagian 5; 7.5.3 (Pengendalian informasi terdokumentasi), untuk butir 4.7; 8.1 (Perencanaan dan pengendalian operasional), untuk butir 4.2 dan 4.3.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5.3 (Pemisahan tugas), untuk butir 4.4; Annex A 5.12 (Klasifikasi informasi), untuk butir 4.9; Annex A 5.15 (Kontrol akses), untuk butir 4.8; Annex A 5.33 (Perlindungan rekaman), untuk butir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