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Tax Administration &amp; Reporting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Tax Administration &amp; Reporting</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SNX-FAT-SOP-05</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Identifikasi aspek pajak</w:t>
            <w:br/>
            <w:t xml:space="preserve">6.2 Perhitungan pajak</w:t>
            <w:br/>
            <w:t xml:space="preserve">6.3 Review dan persetujuan</w:t>
            <w:br/>
            <w:t xml:space="preserve">6.4 Pembayaran</w:t>
            <w:br/>
            <w:t xml:space="preserve">6.5 Pelaporan dan pengarsipan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perhitungan, pembayaran, pelaporan, dan pengarsipan dokumen perpajakan di SINUX untuk PPN, PPh Potong dan Pungut, dan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Staff dan Finance Lead menghitung pajak dengan akurat, membayarnya tepat waktu, dan melaporkannya sesuai peraturan, supaya SINUX terhindar dari denda, bunga administratif, dan sengketa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juga menetapkan pembagian tanggung jawab antara FAT dan Unit pengaju.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kegiatan operasional di SINUX yang memiliki aspek pajak. Kegiatan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PPN: penerbitan Faktur Pajak Keluaran atas setiap penjualan kepada customer; PPN Pemungut (WAPU/Kode 02) atas transaksi dengan Instansi Pemerintah atau BUMN; pengkreditan Faktur Pajak Masukan; rekonsiliasi PPN setiap Masa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Potong dan Pungut: pemotongan PPh Pasal 21 atas gaji, bonus, dan tunjangan karyawan, termasuk Gross-Up dan penyesuaian akhir tahun; pemotongan atau pemungutan PPh Pasal 23/26 dan Pasal 4 ayat (2) atas transaksi dengan pihak ketiga (vendor jasa, sewa, dan pengadaan infrastruktur); rekonsiliasi PPh Potong dan Pungut setiap Masa Pajak dan setiap akhir Tahun Pajak untuk perhitungan dan pelaporan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Badan: perhitungan laba komersial dan fiskal; penyusunan SPT Tahunan PPh Badan; perhitungan angsuran PPh Pasal 25 (jika ada); rekonsiliasi semua kredit pajak yang bisa digunakan untuk perhitungan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Administrasi dan rekonsiliasi: pembuatan kode billing; pengelolaan BPN/NTPN; pembuatan bukti lapor setiap Masa Pajak dan Tahun Pajak berjalan; pengarsipan dokumen perpajakan untuk persiapan audit internal, audit eksternal, dan pemeriksaan DJP.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penerbitan invoice kepada customer (SNX-FAT-SOP-01), kecuali Faktur Pajak Keluaran; pembayaran selain pajak; pencatatan akuntansi dan penyusunan laporan keuangan; pengarsipan dokumen keuangan selain dokumen perpajakan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Aspek pajak</w:t>
            </w:r>
          </w:p>
        </w:tc>
        <w:tc>
          <w:tcPr>
            <w:tcW w:w="6803" w:type="dxa"/>
            <w:vAlign w:val="center"/>
          </w:tcPr>
          <w:p w14:paraId="6E842649" w14:textId="12DD9EBE" w:rsidR="00330634" w:rsidRDefault="00330634">
            <w:pPr>
              <w:rPr>
                <w:sz w:val="24"/>
                <w:szCs w:val="24"/>
              </w:rPr>
            </w:pPr>
            <w:r>
              <w:rPr>
                <w:b w:val="0"/>
                <w:sz w:val="24"/>
                <w:szCs w:val="24"/>
              </w:rPr>
              <w:t>Ketentuan perpajakan yang melekat pada satu transaksi: jenis pajak yang timbul serta kewajiban memotong atau memungut, menyetor, dan melaporkannya.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BPE</w:t>
            </w:r>
          </w:p>
        </w:tc>
        <w:tc>
          <w:tcPr>
            <w:tcW w:w="6803" w:type="dxa"/>
            <w:vAlign w:val="center"/>
          </w:tcPr>
          <w:p w14:paraId="6E842649" w14:textId="12DD9EBE" w:rsidR="00330634" w:rsidRDefault="00330634">
            <w:pPr>
              <w:rPr>
                <w:sz w:val="24"/>
                <w:szCs w:val="24"/>
              </w:rPr>
            </w:pPr>
            <w:r>
              <w:rPr>
                <w:b w:val="0"/>
                <w:sz w:val="24"/>
                <w:szCs w:val="24"/>
              </w:rPr>
              <w:t>Bukti Penerimaan Elektronik atas SPT yang dilaporkan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BPN/NTPN</w:t>
            </w:r>
          </w:p>
        </w:tc>
        <w:tc>
          <w:tcPr>
            <w:tcW w:w="6803" w:type="dxa"/>
            <w:vAlign w:val="center"/>
          </w:tcPr>
          <w:p w14:paraId="6E842649" w14:textId="12DD9EBE" w:rsidR="00330634" w:rsidRDefault="00330634">
            <w:pPr>
              <w:rPr>
                <w:sz w:val="24"/>
                <w:szCs w:val="24"/>
              </w:rPr>
            </w:pPr>
            <w:r>
              <w:rPr>
                <w:b w:val="0"/>
                <w:sz w:val="24"/>
                <w:szCs w:val="24"/>
              </w:rPr>
              <w:t>Bukti Penerimaan Negara atas pajak yang sudah disetor.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BPE, SPT, kode billing, dan bukti bayar untuk satu Masa Pajak atau Tahun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atau pemungutan PPh Potong dan Pungut.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tracker</w:t>
            </w:r>
          </w:p>
        </w:tc>
        <w:tc>
          <w:tcPr>
            <w:tcW w:w="6803" w:type="dxa"/>
            <w:vAlign w:val="center"/>
          </w:tcPr>
          <w:p w14:paraId="6E842649" w14:textId="12DD9EBE" w:rsidR="00330634" w:rsidRDefault="00330634">
            <w:pPr>
              <w:rPr>
                <w:sz w:val="24"/>
                <w:szCs w:val="24"/>
              </w:rPr>
            </w:pPr>
            <w:r>
              <w:rPr>
                <w:b w:val="0"/>
                <w:sz w:val="24"/>
                <w:szCs w:val="24"/>
              </w:rPr>
              <w:t>Dokumen tempat Finance Staff mencatat utang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Laporan Keuangan Komersial dengan angka SPT.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Keluaran</w:t>
            </w:r>
          </w:p>
        </w:tc>
        <w:tc>
          <w:tcPr>
            <w:tcW w:w="6803" w:type="dxa"/>
            <w:vAlign w:val="center"/>
          </w:tcPr>
          <w:p w14:paraId="6E842649" w14:textId="12DD9EBE" w:rsidR="00330634" w:rsidRDefault="00330634">
            <w:pPr>
              <w:rPr>
                <w:sz w:val="24"/>
                <w:szCs w:val="24"/>
              </w:rPr>
            </w:pPr>
            <w:r>
              <w:rPr>
                <w:b w:val="0"/>
                <w:sz w:val="24"/>
                <w:szCs w:val="24"/>
              </w:rPr>
              <w:t>Faktur pajak atas penjualan SINUX kepada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Masukan</w:t>
            </w:r>
          </w:p>
        </w:tc>
        <w:tc>
          <w:tcPr>
            <w:tcW w:w="6803" w:type="dxa"/>
            <w:vAlign w:val="center"/>
          </w:tcPr>
          <w:p w14:paraId="6E842649" w14:textId="12DD9EBE" w:rsidR="00330634" w:rsidRDefault="00330634">
            <w:pPr>
              <w:rPr>
                <w:sz w:val="24"/>
                <w:szCs w:val="24"/>
              </w:rPr>
            </w:pPr>
            <w:r>
              <w:rPr>
                <w:b w:val="0"/>
                <w:sz w:val="24"/>
                <w:szCs w:val="24"/>
              </w:rPr>
              <w:t>Faktur pajak atas pembelian SINUX yang dikreditkan terhadap PPN.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Hak kompensasi pajak (Tax Asset)</w:t>
            </w:r>
          </w:p>
        </w:tc>
        <w:tc>
          <w:tcPr>
            <w:tcW w:w="6803" w:type="dxa"/>
            <w:vAlign w:val="center"/>
          </w:tcPr>
          <w:p w14:paraId="6E842649" w14:textId="12DD9EBE" w:rsidR="00330634" w:rsidRDefault="00330634">
            <w:pPr>
              <w:rPr>
                <w:sz w:val="24"/>
                <w:szCs w:val="24"/>
              </w:rPr>
            </w:pPr>
            <w:r>
              <w:rPr>
                <w:b w:val="0"/>
                <w:sz w:val="24"/>
                <w:szCs w:val="24"/>
              </w:rPr>
              <w:t>Pajak yang sudah dibayar atau dikreditkan SINUX dan dapat dikompensasikan ke utang pajak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Kode billing</w:t>
            </w:r>
          </w:p>
        </w:tc>
        <w:tc>
          <w:tcPr>
            <w:tcW w:w="6803" w:type="dxa"/>
            <w:vAlign w:val="center"/>
          </w:tcPr>
          <w:p w14:paraId="6E842649" w14:textId="12DD9EBE" w:rsidR="00330634" w:rsidRDefault="00330634">
            <w:pPr>
              <w:rPr>
                <w:sz w:val="24"/>
                <w:szCs w:val="24"/>
              </w:rPr>
            </w:pPr>
            <w:r>
              <w:rPr>
                <w:b w:val="0"/>
                <w:sz w:val="24"/>
                <w:szCs w:val="24"/>
              </w:rPr>
              <w:t>Kode yang dibuat untuk membayar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Pajak</w:t>
            </w:r>
          </w:p>
        </w:tc>
        <w:tc>
          <w:tcPr>
            <w:tcW w:w="6803" w:type="dxa"/>
            <w:vAlign w:val="center"/>
          </w:tcPr>
          <w:p w14:paraId="6E842649" w14:textId="12DD9EBE" w:rsidR="00330634" w:rsidRDefault="00330634">
            <w:pPr>
              <w:rPr>
                <w:sz w:val="24"/>
                <w:szCs w:val="24"/>
              </w:rPr>
            </w:pPr>
            <w:r>
              <w:rPr>
                <w:b w:val="0"/>
                <w:sz w:val="24"/>
                <w:szCs w:val="24"/>
              </w:rPr>
              <w:t>Jangka waktu yang menjadi dasar menghitung, menyetor, dan melaporkan utang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Pengajuan</w:t>
            </w:r>
          </w:p>
        </w:tc>
        <w:tc>
          <w:tcPr>
            <w:tcW w:w="6803" w:type="dxa"/>
            <w:vAlign w:val="center"/>
          </w:tcPr>
          <w:p w14:paraId="6E842649" w14:textId="12DD9EBE" w:rsidR="00330634" w:rsidRDefault="00330634">
            <w:pPr>
              <w:rPr>
                <w:sz w:val="24"/>
                <w:szCs w:val="24"/>
              </w:rPr>
            </w:pPr>
            <w:r>
              <w:rPr>
                <w:b w:val="0"/>
                <w:sz w:val="24"/>
                <w:szCs w:val="24"/>
              </w:rPr>
              <w:t>Permintaan agar sebuah pembayaran diproses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Badan</w:t>
            </w:r>
          </w:p>
        </w:tc>
        <w:tc>
          <w:tcPr>
            <w:tcW w:w="6803" w:type="dxa"/>
            <w:vAlign w:val="center"/>
          </w:tcPr>
          <w:p w14:paraId="6E842649" w14:textId="12DD9EBE" w:rsidR="00330634" w:rsidRDefault="00330634">
            <w:pPr>
              <w:rPr>
                <w:sz w:val="24"/>
                <w:szCs w:val="24"/>
              </w:rPr>
            </w:pPr>
            <w:r>
              <w:rPr>
                <w:b w:val="0"/>
                <w:sz w:val="24"/>
                <w:szCs w:val="24"/>
              </w:rPr>
              <w:t>PPh atas penghasilan SINUX sebagai badan, dilaporkan dalam SPT Tahunan.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Potong dan Pungut</w:t>
            </w:r>
          </w:p>
        </w:tc>
        <w:tc>
          <w:tcPr>
            <w:tcW w:w="6803" w:type="dxa"/>
            <w:vAlign w:val="center"/>
          </w:tcPr>
          <w:p w14:paraId="6E842649" w14:textId="12DD9EBE" w:rsidR="00330634" w:rsidRDefault="00330634">
            <w:pPr>
              <w:rPr>
                <w:sz w:val="24"/>
                <w:szCs w:val="24"/>
              </w:rPr>
            </w:pPr>
            <w:r>
              <w:rPr>
                <w:b w:val="0"/>
                <w:sz w:val="24"/>
                <w:szCs w:val="24"/>
              </w:rPr>
              <w:t>PPh yang SINUX potong atau pungut: Pasal 21, Pasal 23/26, dan Pasal 4 ayat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 Pemungut (WAPU/Kode 02)</w:t>
            </w:r>
          </w:p>
        </w:tc>
        <w:tc>
          <w:tcPr>
            <w:tcW w:w="6803" w:type="dxa"/>
            <w:vAlign w:val="center"/>
          </w:tcPr>
          <w:p w14:paraId="6E842649" w14:textId="12DD9EBE" w:rsidR="00330634" w:rsidRDefault="00330634">
            <w:pPr>
              <w:rPr>
                <w:sz w:val="24"/>
                <w:szCs w:val="24"/>
              </w:rPr>
            </w:pPr>
            <w:r>
              <w:rPr>
                <w:b w:val="0"/>
                <w:sz w:val="24"/>
                <w:szCs w:val="24"/>
              </w:rPr>
              <w:t>Penanganan khusus PPN atas transaksi dengan Instansi Pemerintah atau BUMN.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SPT</w:t>
            </w:r>
          </w:p>
        </w:tc>
        <w:tc>
          <w:tcPr>
            <w:tcW w:w="6803" w:type="dxa"/>
            <w:vAlign w:val="center"/>
          </w:tcPr>
          <w:p w14:paraId="6E842649" w14:textId="12DD9EBE" w:rsidR="00330634" w:rsidRDefault="00330634">
            <w:pPr>
              <w:rPr>
                <w:sz w:val="24"/>
                <w:szCs w:val="24"/>
              </w:rPr>
            </w:pPr>
            <w:r>
              <w:rPr>
                <w:b w:val="0"/>
                <w:sz w:val="24"/>
                <w:szCs w:val="24"/>
              </w:rPr>
              <w:t>Surat Pemberitahuan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Tahun Pajak</w:t>
            </w:r>
          </w:p>
        </w:tc>
        <w:tc>
          <w:tcPr>
            <w:tcW w:w="6803" w:type="dxa"/>
            <w:vAlign w:val="center"/>
          </w:tcPr>
          <w:p w14:paraId="6E842649" w14:textId="12DD9EBE" w:rsidR="00330634" w:rsidRDefault="00330634">
            <w:pPr>
              <w:rPr>
                <w:sz w:val="24"/>
                <w:szCs w:val="24"/>
              </w:rPr>
            </w:pPr>
            <w:r>
              <w:rPr>
                <w:b w:val="0"/>
                <w:sz w:val="24"/>
                <w:szCs w:val="24"/>
              </w:rPr>
              <w:t>Jangka waktu satu tahun yang menjadi dasar menghitung dan melaporkan PPh Badan.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pengaju</w:t>
            </w:r>
          </w:p>
        </w:tc>
        <w:tc>
          <w:tcPr>
            <w:tcW w:w="6803" w:type="dxa"/>
            <w:vAlign w:val="center"/>
          </w:tcPr>
          <w:p w14:paraId="6E842649" w14:textId="12DD9EBE" w:rsidR="00330634" w:rsidRDefault="00330634">
            <w:pPr>
              <w:rPr>
                <w:sz w:val="24"/>
                <w:szCs w:val="24"/>
              </w:rPr>
            </w:pPr>
            <w:r>
              <w:rPr>
                <w:b w:val="0"/>
                <w:sz w:val="24"/>
                <w:szCs w:val="24"/>
              </w:rPr>
              <w:t>Departemen SINUX di luar FAT yang menyerahkan invoice atau pengajuan yang memiliki aspek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Utang pajak</w:t>
            </w:r>
          </w:p>
        </w:tc>
        <w:tc>
          <w:tcPr>
            <w:tcW w:w="6803" w:type="dxa"/>
            <w:vAlign w:val="center"/>
          </w:tcPr>
          <w:p w14:paraId="6E842649" w14:textId="12DD9EBE" w:rsidR="00330634" w:rsidRDefault="00330634">
            <w:pPr>
              <w:rPr>
                <w:sz w:val="24"/>
                <w:szCs w:val="24"/>
              </w:rPr>
            </w:pPr>
            <w:r>
              <w:rPr>
                <w:b w:val="0"/>
                <w:sz w:val="24"/>
                <w:szCs w:val="24"/>
              </w:rPr>
              <w:t>Pajak yang sudah timbul dari transaksi dan belum disetor ke kas negara.</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Kepatuhan perpajakan (Annex A 5.31): Finance Staff dan Finance Lead menghitung, memotong atau memungut, menyetor, dan melaporkan pajak sesuai peraturan perundang-undangan perpajakan yang berlaku, termasuk batas waktu setor dan lapor menurut peraturan itu (butir 6.2 sampai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Pengendalian proses (ISO 9001:2015 8.1): Finance Staff dan Finance Lead menjalankan lima tahap di butir 6.1 sampai 6.5 secara berurutan untuk mencegah keterlambatan setor dan lapor, kesalahan penerbitan Faktur Pajak Keluaran, dan kesalahan Laporan Keuangan akibat pencatatan utang pajak yang tidak sesuai. Batas waktu tiap tahap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Pembagian tanggung jawab (ISO 9001:2015 5.3): Finance Lead menyetujui utang pajak yang dihitung Finance Staff (butir 6.2 dan 6.3). Pembagian tanggung jawab lainnya ada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Rekaman perpajakan (ISO 9001:2015 7.5.3 dan Annex A 5.33): Finance Lead mengarsipkan dokumen perpajakan agar siap untuk audit internal, audit eksternal, dan pemeriksaan DJP (butir 6.5). Lokasi, pemilik, dan retensi tiap rekaman ada di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Klasifikasi: rekaman perpajakan di bagian 11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Hak kompensasi pajak dan ekualisasi: Finance Lead mengelola hak kompensasi pajak (Tax Asset) dan memastikan ekualisasi antara Laporan Keuangan Komersial dan SPT (USULAN: Finance Lead sebagai pelaku). Bagian 6 belum memuat langkah rinci untuk butir ini.</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Merekonsiliasi utang pajak di dokumen tracker tiap akhir Masa Pajak, menyetujui utang pajak, mengajukan pembayaran, melaporkan pajak, dan mengarsipkan dokumen perpajakan (butir 6.3 dan 6.5). Mengelola hak kompensasi pajak (Tax Asset) dan memastikan ekualisasi menurut butir 4.6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utang pajak dan mengajukan pembayaran pajak,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dokumen, menganalisis aspek pajak, menghitung utang pajak, mencatatnya di dokumen tracker, membuat bukti potong, Faktur Pajak Keluaran, dan kode billing (butir 6.1, 6.2, dan 6.4). Menyetor pajak dan mencatat BPN/NTPN menurut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Membuat bukti potong, Faktur Pajak Keluaran, dan kode billing; menyetor pajak sesudah Finance Lead mengajukan pembayaran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pengaju</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Menyerahkan invoice atau pengajuan yang memiliki aspek pajak kepada Finance Staff, menurut butir 6.1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menyetujui utang pajak; persetujuan ada pada Finance Lead (butir 6.3).</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Identifikasi aspek pajak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Unit pengaju menyerahkan invoice atau pengajuan yang memiliki aspek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6.1 sampai 6.5 berlaku untuk semua jenis pajak di bagian 2 dengan langkah yang sama; alur terpisah per jenis pajak belum ada (USULAN).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invoice atau pengajuan yang diterima dari Unit pengaju.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Analisis aspek pajak atas transaksi dalam dokumen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analisis aspek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Perhitungan pajak</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Hitung utang pajak atas transaksi sesuai hasil analisis aspek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Nilai utang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Input utang pajak ke dokumen tracker.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utang pajak di dokumen tracker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Buat bukti potong untuk PPh Potong dan Pungut yang timbul.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potong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Faktur Pajak Keluaran atas penjualan kepada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 utang pajak di dokumen tracker pada setiap akhir Masa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rekonsiliasi utang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utang pajak yang sudah direkonsiliasi.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utang pajak, dicatat di SNX-FAT-FRM-01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pembayaran pajak yang sudah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Pengajuan pembayaran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Pembayaran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Buat kode billing untuk pajak yang pembayarannya sudah diajukan.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Kode billing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Setor pajak memakai kode billing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bayar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BPN/NTPN dari bukti bayar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BPN/NTPN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pajak untuk tiap Masa Pajak dan Tahun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SPT dan BPE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Arsipkan bukti lapor: BPE, SPT, kode billing, dan bukti bayar.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bukti lapor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Arsipkan bukti potong dan Faktur Pajak Keluaran bersama bukti lapor untuk masa yang sama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bukti potong dan 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848540" cy="6840000"/>
            <wp:docPr id="1" name="Picture 1"/>
            <wp:cNvGraphicFramePr>
              <a:graphicFrameLocks noChangeAspect="1"/>
            </wp:cNvGraphicFramePr>
            <a:graphic>
              <a:graphicData uri="http://schemas.openxmlformats.org/drawingml/2006/picture">
                <pic:pic>
                  <pic:nvPicPr>
                    <pic:cNvPr id="0" name="FAT-SOP-05_flow.png"/>
                    <pic:cNvPicPr/>
                  </pic:nvPicPr>
                  <pic:blipFill>
                    <a:blip r:embed="rId11"/>
                    <a:stretch>
                      <a:fillRect/>
                    </a:stretch>
                  </pic:blipFill>
                  <pic:spPr>
                    <a:xfrm>
                      <a:off x="0" y="0"/>
                      <a:ext cx="484854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perpajakan. Cabang dokumen tidak lengkap serta penyetoran dan pencatatan BPN/NTPN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aspek pajak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pajak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persetujuan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Pembayaran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Pelaporan dan pengarsipan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dengan Instansi Pemerintah atau BUMN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menerapkan penanganan khusus PPN Pemungut (WAPU/Kode 02) pada Faktur Pajak Keluaran di langkah 4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invoice atau pengajuan belum lengkap pada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meminta dokumen yang kurang kepada Unit pengaju dan menahan perhitungan sampai dokumen lengkap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membandingkan rekaman di bagian 11 dengan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juga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kecuali Faktur Pajak Keluaran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hardcopy dan softcopy, acuan untuk butir 6.5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SNX-FAT-FRM-01</w:t>
            </w:r>
          </w:p>
        </w:tc>
        <w:tc>
          <w:tcPr>
            <w:tcW w:w="6803" w:type="dxa"/>
            <w:vAlign w:val="center"/>
          </w:tcPr>
          <w:p w14:paraId="6E842649" w14:textId="12DD9EBE" w:rsidR="00330634" w:rsidRDefault="00330634">
            <w:pPr>
              <w:rPr>
                <w:sz w:val="24"/>
                <w:szCs w:val="24"/>
              </w:rPr>
            </w:pPr>
            <w:r>
              <w:rPr>
                <w:b w:val="0"/>
                <w:sz w:val="24"/>
                <w:szCs w:val="24"/>
              </w:rPr>
              <w:t>Financial Transaction Approval Records; log sheet approval transaksi pembayaran finance, tempat persetujuan di butir 6.3 dicatat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rekaman di bagian 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tracker (utang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dan Faktur Pajak Keluaran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lapor (BPE, SPT, kode billing, bukti bayar) dan BPN/NTPN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utang pajak dan pengajuan pembayaran (SNX-FAT-FRM-01)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undang-undang, regulasi, dan kontrak), 5.33 (Perlindungan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