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Bhubaneswar Transportation Disruption Intelligence &amp; Routing Protocol</w:t>
      </w:r>
    </w:p>
    <w:p>
      <w:r>
        <w:t>Report Generated: 2026-08-31 20:24:15</w:t>
      </w:r>
    </w:p>
    <w:p>
      <w:r>
        <w:t>Monitored Geographic Hub: Bhubaneswar Logistics Cluster</w:t>
      </w:r>
    </w:p>
    <w:p>
      <w:r>
        <w:t>Total Disruption Events Analyzed: 3</w:t>
      </w:r>
    </w:p>
    <w:p>
      <w:pPr>
        <w:pStyle w:val="Heading1"/>
      </w:pPr>
      <w:r>
        <w:t>1. Executive Regional Disruption Assessment</w:t>
      </w:r>
    </w:p>
    <w:p>
      <w:r>
        <w:t>This intelligence brief evaluates active and historical transportation strikes, roadway blockades, and labor disruptions impacting freight transit in the Bhubaneswar commercial logistics corridor. Of the 3 analyzed disruption records, 0 are classified as HIGH severity (e.g., indefinite strikes, complete bandhs) and 0 as MEDIUM severity. Dominant disruption modalities: Taxi (2), Bus (1).</w:t>
      </w:r>
    </w:p>
    <w:p>
      <w:pPr>
        <w:pStyle w:val="Heading2"/>
      </w:pPr>
      <w:r>
        <w:t>1.1 AI Strategic Risk Assessment (Qwen2.5 Synthesized)</w:t>
      </w:r>
    </w:p>
    <w:p>
      <w:r>
        <w:t>Given the recent transportation strikes and protests in Bhubaneswar, India, the risk level for freight logistics operations is currently high. The incidents of violence, including stone-throwing and vandalism, indicate a volatile environment that could disrupt normal operations. Key bottleneck risks include potential road closures, delays, and increased security costs. These events pose significant challenges for dispatch planners, who must navigate an unpredictable and potentially dangerous landscape.</w:t>
        <w:br/>
        <w:br/>
        <w:t>To mitigate these risks, dispatch planners should implement a multi-faceted strategy. First, diversify routes and transportation modes to avoid areas of conflict. Real-time traffic and incident updates should be integrated into routing software to dynamically adjust delivery plans. Second, establish contingency plans for rerouting and alternative suppliers or carriers. Third, engage with local law enforcement and transportation authorities to gain insights and support. Finally, ensure all drivers are equipped with safety gear and are trained in emergency procedures. By proactively addressing these risks, logistics operations can minimize disruptions and maintain service levels during periods of unrest.</w:t>
      </w:r>
    </w:p>
    <w:p>
      <w:pPr>
        <w:pStyle w:val="Heading1"/>
      </w:pPr>
      <w:r>
        <w:t>2. Critical Corridors &amp; Choke Points</w:t>
      </w:r>
    </w:p>
    <w:p>
      <w:r>
        <w:t>Primary Inbound/Outbound Transit Routes: Bhubaneswar primary national highway entry points and regional transshipment yards.</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Bhubaneswar Taxi Drivers Protest: 80 Arrested, 13 Cops Injured In Violence - NDTV</w:t>
        <w:br/>
      </w:r>
      <w:r>
        <w:t>• Published Date: 2026-08-20 | Source: NDTV</w:t>
        <w:br/>
      </w:r>
      <w:r>
        <w:t>• Modality: Taxi | Severity: LOW</w:t>
        <w:br/>
      </w:r>
    </w:p>
    <w:p>
      <w:r>
        <w:rPr>
          <w:b/>
        </w:rPr>
        <w:t>Incident #2: Bhubaneswar Cab Drivers’ Protest Turns Violent, Over 30 Detained - Outlook India</w:t>
        <w:br/>
      </w:r>
      <w:r>
        <w:t>• Published Date: 2026-08-19 | Source: Outlook India</w:t>
        <w:br/>
      </w:r>
      <w:r>
        <w:t>• Modality: Taxi | Severity: LOW</w:t>
        <w:br/>
      </w:r>
    </w:p>
    <w:p>
      <w:r>
        <w:rPr>
          <w:b/>
        </w:rPr>
        <w:t>Incident #3: Protesters hurl stones at police, vandalise buses as app cab, bike strike turns violent in Bhubaneswar - The Times of India</w:t>
        <w:br/>
      </w:r>
      <w:r>
        <w:t>• Published Date: 2026-08-19 | Source: The Times of India</w:t>
        <w:br/>
      </w:r>
      <w:r>
        <w:t>• Modality: Bus | Severity: LOW</w:t>
        <w:br/>
      </w:r>
    </w:p>
    <w:p>
      <w:pPr>
        <w:pStyle w:val="Heading1"/>
      </w:pPr>
      <w:r>
        <w:t>4. Autonomous Copilot Operational &amp; Legal Rules</w:t>
      </w:r>
    </w:p>
    <w:p>
      <w:r>
        <w:t>When active transit strikes or civil disruptions are detected in Bhubaneswar, the O2C Copilot applies the following deterministic decision rules:</w:t>
      </w:r>
    </w:p>
    <w:p>
      <w:r>
        <w:t>• Force Majeure Adjudication (Clause 8.4): If a government-sanctioned bandh or total union road blockade in Bhubaneswar delays transit by &gt;12 hours, the carrier delay SLA penalty ($500/day) is waived upon submission of verified e-way bill telematics or police traffic advisory.</w:t>
      </w:r>
    </w:p>
    <w:p>
      <w:r>
        <w:t>• Dynamic Transit Buffer: For any order scheduled to pass through Bhubaneswar with active strike news, automatically inject a +12.0 to +24.0 hour safety buffer into the predicted ETA.</w:t>
      </w:r>
    </w:p>
    <w:p>
      <w:r>
        <w:t>• Mode Shift Escalation: For life-critical veterinary diets and urgent pharmaceuticals routed through Bhubaneswar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